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55809" w14:textId="77777777" w:rsidR="004F3A2D" w:rsidRDefault="004F3A2D" w:rsidP="005079AD">
      <w:pPr>
        <w:jc w:val="left"/>
        <w:rPr>
          <w:rFonts w:cs="Arial"/>
          <w:b/>
          <w:szCs w:val="22"/>
        </w:rPr>
      </w:pPr>
    </w:p>
    <w:p w14:paraId="69BC8B9B" w14:textId="77777777" w:rsidR="001117F8" w:rsidRDefault="001117F8" w:rsidP="00B81FD2">
      <w:pPr>
        <w:jc w:val="center"/>
        <w:rPr>
          <w:rFonts w:cs="Arial"/>
          <w:b/>
          <w:szCs w:val="22"/>
        </w:rPr>
      </w:pPr>
    </w:p>
    <w:p w14:paraId="579EFB27" w14:textId="2A03AACF" w:rsidR="00CD0E58" w:rsidRPr="005079AD" w:rsidRDefault="00CD0E58" w:rsidP="00B81FD2">
      <w:pPr>
        <w:jc w:val="center"/>
        <w:rPr>
          <w:rFonts w:cs="Arial"/>
          <w:color w:val="000000"/>
          <w:szCs w:val="22"/>
        </w:rPr>
      </w:pPr>
      <w:r w:rsidRPr="005079AD">
        <w:rPr>
          <w:rFonts w:cs="Arial"/>
          <w:b/>
          <w:szCs w:val="22"/>
        </w:rPr>
        <w:t>AIDE MEMOIRE</w:t>
      </w:r>
    </w:p>
    <w:p w14:paraId="75DDB1A1" w14:textId="77777777" w:rsidR="0079395A" w:rsidRDefault="0079395A" w:rsidP="00B81FD2">
      <w:pPr>
        <w:pStyle w:val="Title"/>
        <w:rPr>
          <w:rFonts w:ascii="Arial" w:hAnsi="Arial" w:cs="Arial"/>
          <w:color w:val="000000"/>
          <w:sz w:val="22"/>
          <w:szCs w:val="22"/>
        </w:rPr>
      </w:pPr>
    </w:p>
    <w:p w14:paraId="3ECE4BDC" w14:textId="69F4D74D" w:rsidR="007A12A3" w:rsidRPr="00CA2062" w:rsidRDefault="00E746F8" w:rsidP="00CA2062">
      <w:pPr>
        <w:jc w:val="center"/>
        <w:rPr>
          <w:rFonts w:cs="Arial"/>
          <w:b/>
          <w:bCs/>
          <w:color w:val="000000"/>
          <w:szCs w:val="22"/>
        </w:rPr>
      </w:pPr>
      <w:r>
        <w:rPr>
          <w:rFonts w:cs="Arial"/>
          <w:b/>
          <w:bCs/>
          <w:color w:val="000000"/>
          <w:szCs w:val="22"/>
        </w:rPr>
        <w:t>GEO</w:t>
      </w:r>
      <w:r w:rsidR="00CD0E58" w:rsidRPr="00CA2062">
        <w:rPr>
          <w:rFonts w:cs="Arial"/>
          <w:b/>
          <w:bCs/>
          <w:color w:val="000000"/>
          <w:szCs w:val="22"/>
        </w:rPr>
        <w:t xml:space="preserve">: </w:t>
      </w:r>
      <w:r w:rsidR="007A12A3" w:rsidRPr="00CA2062">
        <w:rPr>
          <w:rFonts w:cs="Arial"/>
          <w:b/>
          <w:bCs/>
          <w:color w:val="000000"/>
          <w:szCs w:val="22"/>
        </w:rPr>
        <w:t>COVID-19 Active Response and Expenditure Support Program</w:t>
      </w:r>
    </w:p>
    <w:p w14:paraId="7F42715F" w14:textId="2375C45A" w:rsidR="00BB3B95" w:rsidRPr="00A02AC1" w:rsidRDefault="00CD0E58" w:rsidP="007A12A3">
      <w:pPr>
        <w:pStyle w:val="Title"/>
        <w:rPr>
          <w:rFonts w:ascii="Arial" w:hAnsi="Arial" w:cs="Arial"/>
          <w:color w:val="000000"/>
          <w:sz w:val="22"/>
          <w:szCs w:val="22"/>
        </w:rPr>
      </w:pPr>
      <w:r w:rsidRPr="00A02AC1">
        <w:rPr>
          <w:rFonts w:ascii="Arial" w:hAnsi="Arial" w:cs="Arial"/>
          <w:color w:val="000000"/>
          <w:sz w:val="22"/>
          <w:szCs w:val="22"/>
        </w:rPr>
        <w:t>—</w:t>
      </w:r>
      <w:r w:rsidR="007A12A3">
        <w:rPr>
          <w:rFonts w:ascii="Arial" w:hAnsi="Arial" w:cs="Arial"/>
          <w:color w:val="000000"/>
          <w:sz w:val="22"/>
          <w:szCs w:val="22"/>
        </w:rPr>
        <w:t xml:space="preserve">Fact </w:t>
      </w:r>
      <w:r w:rsidR="004D750E">
        <w:rPr>
          <w:rFonts w:ascii="Arial" w:hAnsi="Arial" w:cs="Arial"/>
          <w:bCs/>
          <w:color w:val="000000"/>
          <w:sz w:val="22"/>
          <w:szCs w:val="22"/>
        </w:rPr>
        <w:t>Fi</w:t>
      </w:r>
      <w:r w:rsidR="00324718">
        <w:rPr>
          <w:rFonts w:ascii="Arial" w:hAnsi="Arial" w:cs="Arial"/>
          <w:bCs/>
          <w:color w:val="000000"/>
          <w:sz w:val="22"/>
          <w:szCs w:val="22"/>
        </w:rPr>
        <w:t>nding</w:t>
      </w:r>
      <w:r w:rsidR="00673FCD" w:rsidRPr="00A02AC1">
        <w:rPr>
          <w:rFonts w:ascii="Arial" w:hAnsi="Arial" w:cs="Arial"/>
          <w:color w:val="000000"/>
          <w:sz w:val="22"/>
          <w:szCs w:val="22"/>
        </w:rPr>
        <w:t xml:space="preserve"> </w:t>
      </w:r>
      <w:r w:rsidR="00C65A35" w:rsidRPr="00A02AC1">
        <w:rPr>
          <w:rFonts w:ascii="Arial" w:hAnsi="Arial" w:cs="Arial"/>
          <w:color w:val="000000"/>
          <w:sz w:val="22"/>
          <w:szCs w:val="22"/>
        </w:rPr>
        <w:t>Mission</w:t>
      </w:r>
      <w:r w:rsidRPr="00A02AC1">
        <w:rPr>
          <w:rFonts w:ascii="Arial" w:hAnsi="Arial" w:cs="Arial"/>
          <w:color w:val="000000"/>
          <w:sz w:val="22"/>
          <w:szCs w:val="22"/>
        </w:rPr>
        <w:t xml:space="preserve"> (</w:t>
      </w:r>
      <w:r w:rsidR="00E746F8">
        <w:rPr>
          <w:rFonts w:ascii="Arial" w:hAnsi="Arial" w:cs="Arial"/>
          <w:color w:val="000000"/>
          <w:sz w:val="22"/>
          <w:szCs w:val="22"/>
        </w:rPr>
        <w:t>7</w:t>
      </w:r>
      <w:r w:rsidR="007A12A3">
        <w:rPr>
          <w:rFonts w:ascii="Arial" w:hAnsi="Arial" w:cs="Arial"/>
          <w:color w:val="000000"/>
          <w:sz w:val="22"/>
          <w:szCs w:val="22"/>
        </w:rPr>
        <w:t xml:space="preserve"> April</w:t>
      </w:r>
      <w:r w:rsidR="008D50DD">
        <w:rPr>
          <w:rFonts w:ascii="Arial" w:hAnsi="Arial" w:cs="Arial"/>
          <w:color w:val="000000"/>
          <w:sz w:val="22"/>
          <w:szCs w:val="22"/>
        </w:rPr>
        <w:t>-</w:t>
      </w:r>
      <w:r w:rsidR="00E746F8">
        <w:rPr>
          <w:rFonts w:ascii="Arial" w:hAnsi="Arial" w:cs="Arial"/>
          <w:color w:val="000000"/>
          <w:sz w:val="22"/>
          <w:szCs w:val="22"/>
        </w:rPr>
        <w:t xml:space="preserve"> </w:t>
      </w:r>
      <w:r w:rsidR="008D50DD">
        <w:rPr>
          <w:rFonts w:ascii="Arial" w:hAnsi="Arial" w:cs="Arial"/>
          <w:color w:val="000000"/>
          <w:sz w:val="22"/>
          <w:szCs w:val="22"/>
        </w:rPr>
        <w:t>2</w:t>
      </w:r>
      <w:r w:rsidR="00E746F8">
        <w:rPr>
          <w:rFonts w:ascii="Arial" w:hAnsi="Arial" w:cs="Arial"/>
          <w:color w:val="000000"/>
          <w:sz w:val="22"/>
          <w:szCs w:val="22"/>
        </w:rPr>
        <w:t>0</w:t>
      </w:r>
      <w:r w:rsidR="008D50DD">
        <w:rPr>
          <w:rFonts w:ascii="Arial" w:hAnsi="Arial" w:cs="Arial"/>
          <w:color w:val="000000"/>
          <w:sz w:val="22"/>
          <w:szCs w:val="22"/>
        </w:rPr>
        <w:t xml:space="preserve"> </w:t>
      </w:r>
      <w:r w:rsidR="007A12A3">
        <w:rPr>
          <w:rFonts w:ascii="Arial" w:hAnsi="Arial" w:cs="Arial"/>
          <w:color w:val="000000"/>
          <w:sz w:val="22"/>
          <w:szCs w:val="22"/>
        </w:rPr>
        <w:t>April</w:t>
      </w:r>
      <w:r w:rsidR="007A12A3" w:rsidRPr="00A02AC1">
        <w:rPr>
          <w:rFonts w:ascii="Arial" w:hAnsi="Arial" w:cs="Arial"/>
          <w:color w:val="000000"/>
          <w:sz w:val="22"/>
          <w:szCs w:val="22"/>
        </w:rPr>
        <w:t xml:space="preserve"> </w:t>
      </w:r>
      <w:r w:rsidR="00B64FB6" w:rsidRPr="00A02AC1">
        <w:rPr>
          <w:rFonts w:ascii="Arial" w:hAnsi="Arial" w:cs="Arial"/>
          <w:color w:val="000000"/>
          <w:sz w:val="22"/>
          <w:szCs w:val="22"/>
        </w:rPr>
        <w:t>20</w:t>
      </w:r>
      <w:r w:rsidR="007A12A3">
        <w:rPr>
          <w:rFonts w:ascii="Arial" w:hAnsi="Arial" w:cs="Arial"/>
          <w:color w:val="000000"/>
          <w:sz w:val="22"/>
          <w:szCs w:val="22"/>
        </w:rPr>
        <w:t>20</w:t>
      </w:r>
      <w:r w:rsidRPr="00A02AC1">
        <w:rPr>
          <w:rFonts w:ascii="Arial" w:hAnsi="Arial" w:cs="Arial"/>
          <w:color w:val="000000"/>
          <w:sz w:val="22"/>
          <w:szCs w:val="22"/>
        </w:rPr>
        <w:t>)</w:t>
      </w:r>
    </w:p>
    <w:p w14:paraId="33045867" w14:textId="77777777" w:rsidR="00BB3B95" w:rsidRPr="004F3A2D" w:rsidRDefault="00BB3B95" w:rsidP="00FD7C14">
      <w:pPr>
        <w:numPr>
          <w:ilvl w:val="0"/>
          <w:numId w:val="12"/>
        </w:numPr>
        <w:tabs>
          <w:tab w:val="clear" w:pos="1080"/>
        </w:tabs>
        <w:spacing w:after="240"/>
        <w:ind w:left="720"/>
        <w:jc w:val="left"/>
        <w:rPr>
          <w:rFonts w:cs="Arial"/>
          <w:b/>
          <w:bCs/>
          <w:szCs w:val="22"/>
        </w:rPr>
      </w:pPr>
      <w:r w:rsidRPr="005079AD">
        <w:rPr>
          <w:rFonts w:cs="Arial"/>
          <w:b/>
          <w:bCs/>
          <w:szCs w:val="22"/>
        </w:rPr>
        <w:t>Introduction</w:t>
      </w:r>
    </w:p>
    <w:p w14:paraId="2B2E58F5" w14:textId="2B634407" w:rsidR="008C07B3" w:rsidRDefault="007144FE" w:rsidP="00A02AC1">
      <w:pPr>
        <w:rPr>
          <w:rFonts w:cs="Arial"/>
          <w:szCs w:val="22"/>
        </w:rPr>
      </w:pPr>
      <w:r>
        <w:rPr>
          <w:rFonts w:cs="Arial"/>
          <w:szCs w:val="22"/>
        </w:rPr>
        <w:t xml:space="preserve">1. </w:t>
      </w:r>
      <w:r>
        <w:rPr>
          <w:rFonts w:cs="Arial"/>
          <w:szCs w:val="22"/>
        </w:rPr>
        <w:tab/>
      </w:r>
      <w:r w:rsidR="008D50DD">
        <w:rPr>
          <w:rFonts w:cs="Arial"/>
          <w:szCs w:val="22"/>
        </w:rPr>
        <w:t>T</w:t>
      </w:r>
      <w:r w:rsidR="00A02AC1" w:rsidRPr="00A8146E">
        <w:rPr>
          <w:rFonts w:cs="Arial"/>
          <w:szCs w:val="22"/>
        </w:rPr>
        <w:t>he Asian Development Bank (ADB)</w:t>
      </w:r>
      <w:r w:rsidR="00A02AC1">
        <w:rPr>
          <w:rFonts w:cs="Arial"/>
          <w:szCs w:val="22"/>
        </w:rPr>
        <w:t xml:space="preserve"> </w:t>
      </w:r>
      <w:r w:rsidR="00255E33">
        <w:rPr>
          <w:rFonts w:cs="Arial"/>
          <w:szCs w:val="22"/>
        </w:rPr>
        <w:t>concluded the</w:t>
      </w:r>
      <w:r w:rsidR="0058643D">
        <w:rPr>
          <w:rFonts w:cs="Arial"/>
          <w:szCs w:val="22"/>
        </w:rPr>
        <w:t xml:space="preserve"> </w:t>
      </w:r>
      <w:r w:rsidR="005D0A4A">
        <w:rPr>
          <w:rFonts w:cs="Arial"/>
          <w:szCs w:val="22"/>
        </w:rPr>
        <w:t xml:space="preserve">fact-finding </w:t>
      </w:r>
      <w:r w:rsidR="00A02AC1" w:rsidRPr="00A8146E">
        <w:rPr>
          <w:rFonts w:cs="Arial"/>
          <w:szCs w:val="22"/>
        </w:rPr>
        <w:t>mission</w:t>
      </w:r>
      <w:r w:rsidR="00CF7608">
        <w:rPr>
          <w:rFonts w:cs="Arial"/>
          <w:szCs w:val="22"/>
        </w:rPr>
        <w:t xml:space="preserve"> consultations for the proposed</w:t>
      </w:r>
      <w:r w:rsidR="007A12A3">
        <w:rPr>
          <w:rFonts w:cs="Arial"/>
          <w:szCs w:val="22"/>
        </w:rPr>
        <w:t xml:space="preserve"> </w:t>
      </w:r>
      <w:r w:rsidR="00255E33" w:rsidRPr="00255E33">
        <w:rPr>
          <w:rFonts w:cs="Arial"/>
          <w:szCs w:val="22"/>
        </w:rPr>
        <w:t>COVID-19 Active Response and Expenditure Support Program</w:t>
      </w:r>
      <w:r w:rsidR="00CF7608">
        <w:rPr>
          <w:rFonts w:cs="Arial"/>
          <w:szCs w:val="22"/>
        </w:rPr>
        <w:t xml:space="preserve"> (</w:t>
      </w:r>
      <w:r w:rsidR="00255E33">
        <w:rPr>
          <w:rFonts w:cs="Arial"/>
          <w:szCs w:val="22"/>
        </w:rPr>
        <w:t>CARES)</w:t>
      </w:r>
      <w:r w:rsidR="00A02AC1">
        <w:rPr>
          <w:rFonts w:cs="Arial"/>
          <w:szCs w:val="22"/>
        </w:rPr>
        <w:t>.</w:t>
      </w:r>
      <w:r w:rsidR="00C72FB1">
        <w:rPr>
          <w:rStyle w:val="FootnoteReference"/>
          <w:rFonts w:cs="Arial"/>
          <w:szCs w:val="22"/>
        </w:rPr>
        <w:footnoteReference w:id="2"/>
      </w:r>
      <w:r w:rsidR="00A02AC1">
        <w:rPr>
          <w:rFonts w:cs="Arial"/>
          <w:szCs w:val="22"/>
        </w:rPr>
        <w:t xml:space="preserve"> Th</w:t>
      </w:r>
      <w:r w:rsidR="00FC4BB7">
        <w:rPr>
          <w:rFonts w:cs="Arial"/>
          <w:szCs w:val="22"/>
        </w:rPr>
        <w:t>e</w:t>
      </w:r>
      <w:r w:rsidR="00A02AC1">
        <w:rPr>
          <w:rFonts w:cs="Arial"/>
          <w:szCs w:val="22"/>
        </w:rPr>
        <w:t xml:space="preserve"> </w:t>
      </w:r>
      <w:r w:rsidR="008C07B3">
        <w:rPr>
          <w:rFonts w:cs="Arial"/>
          <w:szCs w:val="22"/>
        </w:rPr>
        <w:t>Aide memoire reflect</w:t>
      </w:r>
      <w:r w:rsidR="00323F1B">
        <w:rPr>
          <w:rFonts w:cs="Arial"/>
          <w:szCs w:val="22"/>
        </w:rPr>
        <w:t>s</w:t>
      </w:r>
      <w:r w:rsidR="00A02AC1">
        <w:rPr>
          <w:rFonts w:cs="Arial"/>
          <w:szCs w:val="22"/>
        </w:rPr>
        <w:t xml:space="preserve"> </w:t>
      </w:r>
      <w:r w:rsidR="005E0B5E">
        <w:rPr>
          <w:rFonts w:cs="Arial"/>
          <w:szCs w:val="22"/>
        </w:rPr>
        <w:t>discussions</w:t>
      </w:r>
      <w:r w:rsidR="00A02AC1">
        <w:rPr>
          <w:rFonts w:cs="Arial"/>
          <w:szCs w:val="22"/>
        </w:rPr>
        <w:t xml:space="preserve"> with the government agencies</w:t>
      </w:r>
      <w:r w:rsidR="00255E33">
        <w:rPr>
          <w:rFonts w:cs="Arial"/>
          <w:szCs w:val="22"/>
        </w:rPr>
        <w:t xml:space="preserve"> and the development partners (list of officials is attached in Appendix 1)</w:t>
      </w:r>
      <w:r w:rsidR="00A02AC1">
        <w:rPr>
          <w:rFonts w:cs="Arial"/>
          <w:szCs w:val="22"/>
        </w:rPr>
        <w:t>.</w:t>
      </w:r>
      <w:r w:rsidR="001E748A">
        <w:rPr>
          <w:rFonts w:cs="Arial"/>
          <w:szCs w:val="22"/>
        </w:rPr>
        <w:t xml:space="preserve"> </w:t>
      </w:r>
      <w:r w:rsidR="00C32921">
        <w:rPr>
          <w:rFonts w:cs="Arial"/>
          <w:szCs w:val="22"/>
        </w:rPr>
        <w:t xml:space="preserve">The agreements reached during the </w:t>
      </w:r>
      <w:r w:rsidR="00255E33">
        <w:rPr>
          <w:rFonts w:cs="Arial"/>
          <w:szCs w:val="22"/>
        </w:rPr>
        <w:t xml:space="preserve">consultations </w:t>
      </w:r>
      <w:r w:rsidR="00C32921">
        <w:rPr>
          <w:rFonts w:cs="Arial"/>
          <w:szCs w:val="22"/>
        </w:rPr>
        <w:t xml:space="preserve">will require </w:t>
      </w:r>
      <w:r w:rsidR="003A3600">
        <w:rPr>
          <w:rFonts w:cs="Arial"/>
          <w:szCs w:val="22"/>
        </w:rPr>
        <w:t>approval</w:t>
      </w:r>
      <w:r w:rsidR="00C32921">
        <w:rPr>
          <w:rFonts w:cs="Arial"/>
          <w:szCs w:val="22"/>
        </w:rPr>
        <w:t xml:space="preserve"> by the ADB Management and the Government of </w:t>
      </w:r>
      <w:r w:rsidR="00E746F8">
        <w:rPr>
          <w:rFonts w:cs="Arial"/>
          <w:szCs w:val="22"/>
        </w:rPr>
        <w:t>Georgia</w:t>
      </w:r>
      <w:r w:rsidR="00C32921">
        <w:rPr>
          <w:rFonts w:cs="Arial"/>
          <w:szCs w:val="22"/>
        </w:rPr>
        <w:t xml:space="preserve"> (GO</w:t>
      </w:r>
      <w:r w:rsidR="00E746F8">
        <w:rPr>
          <w:rFonts w:cs="Arial"/>
          <w:szCs w:val="22"/>
        </w:rPr>
        <w:t>G</w:t>
      </w:r>
      <w:r w:rsidR="00C32921">
        <w:rPr>
          <w:rFonts w:cs="Arial"/>
          <w:szCs w:val="22"/>
        </w:rPr>
        <w:t>).</w:t>
      </w:r>
    </w:p>
    <w:p w14:paraId="2C27837F" w14:textId="77777777" w:rsidR="008C07B3" w:rsidRDefault="008C07B3" w:rsidP="00A02AC1">
      <w:pPr>
        <w:rPr>
          <w:rFonts w:cs="Arial"/>
          <w:szCs w:val="22"/>
        </w:rPr>
      </w:pPr>
    </w:p>
    <w:p w14:paraId="44C4A874" w14:textId="77777777" w:rsidR="00BB3B95" w:rsidRPr="005079AD" w:rsidRDefault="00BB3B95" w:rsidP="005079AD">
      <w:pPr>
        <w:rPr>
          <w:rFonts w:cs="Arial"/>
          <w:b/>
          <w:bCs/>
          <w:szCs w:val="22"/>
        </w:rPr>
      </w:pPr>
    </w:p>
    <w:p w14:paraId="65857C44" w14:textId="602536B9" w:rsidR="00D17694" w:rsidRDefault="00A13DE6" w:rsidP="00FD7C14">
      <w:pPr>
        <w:numPr>
          <w:ilvl w:val="0"/>
          <w:numId w:val="12"/>
        </w:numPr>
        <w:tabs>
          <w:tab w:val="clear" w:pos="1080"/>
          <w:tab w:val="left" w:pos="810"/>
        </w:tabs>
        <w:spacing w:after="240"/>
        <w:ind w:left="720"/>
        <w:jc w:val="left"/>
        <w:rPr>
          <w:rFonts w:cs="Arial"/>
          <w:b/>
          <w:bCs/>
          <w:kern w:val="32"/>
          <w:szCs w:val="22"/>
        </w:rPr>
      </w:pPr>
      <w:r>
        <w:rPr>
          <w:rFonts w:cs="Arial"/>
          <w:b/>
          <w:bCs/>
          <w:kern w:val="32"/>
          <w:szCs w:val="22"/>
        </w:rPr>
        <w:t>Background</w:t>
      </w:r>
    </w:p>
    <w:p w14:paraId="74C972A8" w14:textId="77777777" w:rsidR="00BF3402" w:rsidRPr="00BF3402" w:rsidRDefault="00BF3402" w:rsidP="00BF3402">
      <w:pPr>
        <w:rPr>
          <w:rFonts w:eastAsia="MS Mincho"/>
          <w:szCs w:val="24"/>
          <w:lang w:val="en-PH" w:eastAsia="ja-JP"/>
        </w:rPr>
      </w:pPr>
      <w:r w:rsidRPr="00BF3402">
        <w:rPr>
          <w:rFonts w:cs="Arial"/>
          <w:szCs w:val="22"/>
        </w:rPr>
        <w:t xml:space="preserve">2. </w:t>
      </w:r>
      <w:r w:rsidRPr="00BF3402">
        <w:rPr>
          <w:rFonts w:cs="Arial"/>
          <w:szCs w:val="22"/>
        </w:rPr>
        <w:tab/>
      </w:r>
      <w:r w:rsidRPr="00BF3402">
        <w:rPr>
          <w:rFonts w:eastAsia="MS Mincho"/>
          <w:b/>
          <w:bCs/>
          <w:szCs w:val="24"/>
          <w:lang w:eastAsia="ja-JP"/>
        </w:rPr>
        <w:t>The coronavirus disease 2019 (COVID-19) pandemic represents a threat to Georgia’s public health systems as well as its economic stability.</w:t>
      </w:r>
      <w:r w:rsidRPr="00BF3402">
        <w:rPr>
          <w:rFonts w:eastAsia="MS Mincho"/>
          <w:szCs w:val="24"/>
          <w:lang w:eastAsia="ja-JP"/>
        </w:rPr>
        <w:t xml:space="preserve"> The magnitude of the human and economic costs resulting from the pandemic will depend on the effectiveness of the public health and economic policies adopted by the authorities. The Government of Georgia (the government) responded to the public health threat posed by COVID-19 in a timely and effective manner by introducing a comprehensive package of containment measures. However, while these strict containment efforts have thus far shielded a vulnerable public health system from overburden, they will disrupt a trajectory of strong and inclusive economic growth, threatening the development gains that were achieved during the last decade. The government announced a significant anti-crisis response plan and countercyclical program. The CARES Program aims to support the government in implementing its countercyclical fiscal and monetary policies. This will help mitigate the severity of the health and socio-economic effects of COVID-19 by (i) strengthening the health sector; (ii) supporting the industry and employment; (iii) and protecting the lives and livelihoods of its citizens, especially the poor and vulnerable segments of the population, women, and children. </w:t>
      </w:r>
    </w:p>
    <w:p w14:paraId="4C63CA4D" w14:textId="77777777" w:rsidR="00BF3402" w:rsidRDefault="00BF3402" w:rsidP="00BF3402">
      <w:pPr>
        <w:rPr>
          <w:rFonts w:cs="Arial"/>
        </w:rPr>
      </w:pPr>
    </w:p>
    <w:p w14:paraId="1AD457AF" w14:textId="11C1091E" w:rsidR="00BF3402" w:rsidRPr="00BF3402" w:rsidRDefault="00BF3402" w:rsidP="00BF3402">
      <w:pPr>
        <w:rPr>
          <w:rFonts w:cs="Arial"/>
        </w:rPr>
      </w:pPr>
      <w:r w:rsidRPr="00BF3402">
        <w:rPr>
          <w:rFonts w:cs="Arial"/>
        </w:rPr>
        <w:t xml:space="preserve">3. </w:t>
      </w:r>
      <w:r w:rsidRPr="00BF3402">
        <w:rPr>
          <w:rFonts w:cs="Arial"/>
        </w:rPr>
        <w:tab/>
      </w:r>
      <w:r w:rsidRPr="00BF3402">
        <w:rPr>
          <w:rFonts w:eastAsia="MS Mincho"/>
          <w:b/>
          <w:bCs/>
          <w:szCs w:val="24"/>
          <w:lang w:eastAsia="ja-JP"/>
        </w:rPr>
        <w:t>Impact of the COVID-19 pandemic on public health in Georgia.</w:t>
      </w:r>
      <w:r w:rsidRPr="00BF3402">
        <w:rPr>
          <w:rFonts w:eastAsia="MS Mincho"/>
          <w:szCs w:val="24"/>
          <w:lang w:eastAsia="ja-JP"/>
        </w:rPr>
        <w:t xml:space="preserve"> Since its outbreak in December 2019, the novel Coronavirus has spread rapidly across the world. WHO declared a</w:t>
      </w:r>
      <w:r w:rsidRPr="00BF3402" w:rsidDel="00E92661">
        <w:rPr>
          <w:rFonts w:eastAsia="MS Mincho"/>
          <w:szCs w:val="24"/>
          <w:lang w:eastAsia="ja-JP"/>
        </w:rPr>
        <w:t xml:space="preserve"> </w:t>
      </w:r>
      <w:r w:rsidRPr="00BF3402">
        <w:rPr>
          <w:rFonts w:eastAsia="MS Mincho"/>
          <w:szCs w:val="24"/>
          <w:lang w:eastAsia="ja-JP"/>
        </w:rPr>
        <w:t>global pandemic on 11 March 2020. The number of cases worldwide soared to 2,912,421 with 203,432 deaths worldwide as of 26 April 2020.</w:t>
      </w:r>
      <w:r w:rsidRPr="00BF3402">
        <w:rPr>
          <w:rFonts w:eastAsia="MS Mincho"/>
          <w:vertAlign w:val="superscript"/>
          <w:lang w:eastAsia="ja-JP"/>
        </w:rPr>
        <w:footnoteReference w:id="3"/>
      </w:r>
      <w:r w:rsidRPr="00BF3402">
        <w:rPr>
          <w:rFonts w:eastAsia="MS Mincho"/>
          <w:szCs w:val="24"/>
          <w:lang w:eastAsia="ja-JP"/>
        </w:rPr>
        <w:t xml:space="preserve"> Georgia, with a population of 3.723 million people,</w:t>
      </w:r>
      <w:r w:rsidRPr="00BF3402">
        <w:rPr>
          <w:rFonts w:eastAsia="MS Mincho"/>
          <w:vertAlign w:val="superscript"/>
          <w:lang w:eastAsia="ja-JP"/>
        </w:rPr>
        <w:footnoteReference w:id="4"/>
      </w:r>
      <w:r w:rsidRPr="00BF3402">
        <w:rPr>
          <w:rFonts w:eastAsia="MS Mincho"/>
          <w:szCs w:val="24"/>
          <w:lang w:eastAsia="ja-JP"/>
        </w:rPr>
        <w:t xml:space="preserve"> began the fight against COVID-19 on 28 January, one month before the first confirmed case of infection was reported on 26 February, imported through a returning citizen from Iran via Azerbaijan. State of emergency was declared on the 21 March, 2 days before community transmission was confirmed. As of 25 April 2020, a total of 456 cases had been reported and 5 deaths confirmed.</w:t>
      </w:r>
      <w:r w:rsidRPr="00BF3402">
        <w:rPr>
          <w:rFonts w:eastAsia="MS Mincho"/>
          <w:vertAlign w:val="superscript"/>
          <w:lang w:eastAsia="ja-JP"/>
        </w:rPr>
        <w:footnoteReference w:id="5"/>
      </w:r>
      <w:r w:rsidRPr="00BF3402" w:rsidDel="004E77C2">
        <w:rPr>
          <w:rFonts w:eastAsia="MS Mincho"/>
          <w:szCs w:val="24"/>
          <w:lang w:val="en-PH" w:eastAsia="ja-JP"/>
        </w:rPr>
        <w:t xml:space="preserve"> </w:t>
      </w:r>
      <w:r w:rsidRPr="00BF3402">
        <w:rPr>
          <w:rFonts w:eastAsia="MS Mincho"/>
          <w:szCs w:val="24"/>
          <w:lang w:eastAsia="ja-JP"/>
        </w:rPr>
        <w:t xml:space="preserve">Some </w:t>
      </w:r>
      <w:r w:rsidRPr="00BF3402">
        <w:rPr>
          <w:rFonts w:eastAsia="MS Mincho"/>
          <w:szCs w:val="24"/>
          <w:lang w:val="en-PH" w:eastAsia="ja-JP"/>
        </w:rPr>
        <w:t>4,928</w:t>
      </w:r>
      <w:r w:rsidRPr="00BF3402" w:rsidDel="00974FBB">
        <w:rPr>
          <w:rFonts w:eastAsia="MS Mincho"/>
          <w:szCs w:val="24"/>
          <w:lang w:val="en-PH" w:eastAsia="ja-JP"/>
        </w:rPr>
        <w:t xml:space="preserve"> </w:t>
      </w:r>
      <w:r w:rsidRPr="00BF3402">
        <w:rPr>
          <w:rFonts w:eastAsia="MS Mincho"/>
          <w:szCs w:val="24"/>
          <w:lang w:val="en-PH" w:eastAsia="ja-JP"/>
        </w:rPr>
        <w:t>people are in a 14-day mandatory quarantine, while 522 patients remain under observation in hospitals.</w:t>
      </w:r>
      <w:r w:rsidRPr="00BF3402">
        <w:rPr>
          <w:rFonts w:eastAsia="MS Mincho"/>
          <w:vertAlign w:val="superscript"/>
          <w:lang w:val="en-PH" w:eastAsia="ja-JP"/>
        </w:rPr>
        <w:footnoteReference w:id="6"/>
      </w:r>
      <w:r w:rsidRPr="00BF3402">
        <w:rPr>
          <w:rFonts w:eastAsia="MS Mincho"/>
          <w:szCs w:val="24"/>
          <w:lang w:eastAsia="ja-JP"/>
        </w:rPr>
        <w:t xml:space="preserve"> Estimates by ADB staff using a public health model developed by Walker et al (2020)</w:t>
      </w:r>
      <w:r w:rsidRPr="00BF3402">
        <w:rPr>
          <w:rFonts w:eastAsia="MS Mincho"/>
          <w:vertAlign w:val="superscript"/>
          <w:lang w:eastAsia="ja-JP"/>
        </w:rPr>
        <w:footnoteReference w:id="7"/>
      </w:r>
      <w:r w:rsidRPr="00BF3402">
        <w:rPr>
          <w:rFonts w:eastAsia="MS Mincho"/>
          <w:szCs w:val="24"/>
          <w:lang w:eastAsia="ja-JP"/>
        </w:rPr>
        <w:t xml:space="preserve"> suggest that </w:t>
      </w:r>
      <w:r w:rsidR="009C0341" w:rsidRPr="00BF3402">
        <w:rPr>
          <w:rFonts w:eastAsia="MS Mincho"/>
          <w:szCs w:val="24"/>
          <w:lang w:eastAsia="ja-JP"/>
        </w:rPr>
        <w:t>even</w:t>
      </w:r>
      <w:r w:rsidRPr="00BF3402">
        <w:rPr>
          <w:rFonts w:eastAsia="MS Mincho"/>
          <w:szCs w:val="24"/>
          <w:lang w:eastAsia="ja-JP"/>
        </w:rPr>
        <w:t xml:space="preserve"> with strong containment measures in place, about half of the population could eventually become infected before herd immunity is reached.</w:t>
      </w:r>
      <w:r w:rsidRPr="00BF3402">
        <w:rPr>
          <w:rFonts w:eastAsia="MS Mincho"/>
          <w:vertAlign w:val="superscript"/>
          <w:lang w:eastAsia="ja-JP"/>
        </w:rPr>
        <w:footnoteReference w:id="8"/>
      </w:r>
      <w:r w:rsidRPr="00BF3402">
        <w:rPr>
          <w:rFonts w:eastAsia="MS Mincho"/>
          <w:szCs w:val="24"/>
          <w:lang w:eastAsia="ja-JP"/>
        </w:rPr>
        <w:t xml:space="preserve">  According to these estimates, more than 70,000 people could require hospitalization and nearly 20,000 would require intensive care, which would overwhelm the health system.</w:t>
      </w:r>
      <w:r w:rsidRPr="00BF3402">
        <w:rPr>
          <w:rFonts w:eastAsia="MS Mincho"/>
          <w:vertAlign w:val="superscript"/>
          <w:lang w:eastAsia="ja-JP"/>
        </w:rPr>
        <w:footnoteReference w:id="9"/>
      </w:r>
      <w:r w:rsidRPr="00BF3402">
        <w:rPr>
          <w:rFonts w:eastAsia="MS Mincho"/>
          <w:szCs w:val="24"/>
          <w:lang w:eastAsia="ja-JP"/>
        </w:rPr>
        <w:t xml:space="preserve"> The increasing burden of non-communicable diseases (NCDs) poses an additional risk to the populations’ vulnerability to the COVID-19 pandemic as evidence from other countries suggests. </w:t>
      </w:r>
      <w:r w:rsidRPr="00BF3402">
        <w:rPr>
          <w:rFonts w:eastAsia="MS Mincho" w:cs="Arial"/>
          <w:szCs w:val="24"/>
          <w:lang w:eastAsia="ja-JP"/>
        </w:rPr>
        <w:t>NCDs account for more than 81.2% of the burden of disease in Georgia and prevalence of risk factors such as smoking and hypertension is high.</w:t>
      </w:r>
      <w:r w:rsidRPr="00BF3402">
        <w:rPr>
          <w:rFonts w:eastAsia="MS Mincho"/>
          <w:vertAlign w:val="superscript"/>
          <w:lang w:eastAsia="ja-JP"/>
        </w:rPr>
        <w:footnoteReference w:id="10"/>
      </w:r>
      <w:r w:rsidRPr="00BF3402">
        <w:rPr>
          <w:rFonts w:eastAsia="MS Mincho"/>
          <w:szCs w:val="24"/>
          <w:lang w:eastAsia="ja-JP"/>
        </w:rPr>
        <w:t xml:space="preserve"> This means that strong prevention measures and further strengthening of the health system’s capacity to handle more cases of COVID-19 in the medium-term are needed.</w:t>
      </w:r>
    </w:p>
    <w:p w14:paraId="675F195A" w14:textId="77777777" w:rsidR="00BF3402" w:rsidRDefault="00BF3402" w:rsidP="00BF3402">
      <w:pPr>
        <w:rPr>
          <w:rFonts w:eastAsia="MS Mincho"/>
          <w:szCs w:val="24"/>
          <w:lang w:eastAsia="ja-JP"/>
        </w:rPr>
      </w:pPr>
    </w:p>
    <w:p w14:paraId="7E7F1EF1" w14:textId="42E1B164" w:rsidR="00BF3402" w:rsidRPr="00BF3402" w:rsidRDefault="00BF3402" w:rsidP="00BF3402">
      <w:pPr>
        <w:rPr>
          <w:rFonts w:eastAsia="MS Mincho"/>
          <w:szCs w:val="24"/>
          <w:lang w:val="en-PH" w:eastAsia="ja-JP"/>
        </w:rPr>
      </w:pPr>
      <w:r w:rsidRPr="00BF3402">
        <w:rPr>
          <w:rFonts w:eastAsia="MS Mincho"/>
          <w:szCs w:val="24"/>
          <w:lang w:eastAsia="ja-JP"/>
        </w:rPr>
        <w:t>4.</w:t>
      </w:r>
      <w:r w:rsidRPr="00BF3402">
        <w:rPr>
          <w:rFonts w:eastAsia="MS Mincho"/>
          <w:b/>
          <w:bCs/>
          <w:szCs w:val="24"/>
          <w:lang w:eastAsia="ja-JP"/>
        </w:rPr>
        <w:tab/>
        <w:t>Impact of COVID-19 on the economy.</w:t>
      </w:r>
      <w:r w:rsidRPr="00BF3402">
        <w:rPr>
          <w:rFonts w:eastAsia="MS Mincho"/>
          <w:szCs w:val="24"/>
          <w:lang w:eastAsia="ja-JP"/>
        </w:rPr>
        <w:t xml:space="preserve"> Global t</w:t>
      </w:r>
      <w:r w:rsidRPr="00BF3402" w:rsidDel="007855E3">
        <w:rPr>
          <w:rFonts w:eastAsia="MS Mincho"/>
          <w:szCs w:val="24"/>
          <w:lang w:eastAsia="ja-JP"/>
        </w:rPr>
        <w:t xml:space="preserve">ravel restrictions, </w:t>
      </w:r>
      <w:r w:rsidRPr="00BF3402">
        <w:rPr>
          <w:rFonts w:eastAsia="MS Mincho"/>
          <w:szCs w:val="24"/>
          <w:lang w:eastAsia="ja-JP"/>
        </w:rPr>
        <w:t>non-pharmaceutical interventions (NPIs)</w:t>
      </w:r>
      <w:r w:rsidRPr="00BF3402" w:rsidDel="007855E3">
        <w:rPr>
          <w:rFonts w:eastAsia="MS Mincho"/>
          <w:szCs w:val="24"/>
          <w:lang w:eastAsia="ja-JP"/>
        </w:rPr>
        <w:t>, and the anticipation of a global economic crisis due to the COVID-19 pandemic</w:t>
      </w:r>
      <w:r w:rsidRPr="00BF3402">
        <w:rPr>
          <w:rFonts w:eastAsia="MS Mincho"/>
          <w:szCs w:val="24"/>
          <w:lang w:eastAsia="ja-JP"/>
        </w:rPr>
        <w:t xml:space="preserve"> </w:t>
      </w:r>
      <w:r w:rsidRPr="00BF3402" w:rsidDel="007855E3">
        <w:rPr>
          <w:rFonts w:eastAsia="MS Mincho"/>
          <w:szCs w:val="24"/>
          <w:lang w:eastAsia="ja-JP"/>
        </w:rPr>
        <w:t xml:space="preserve">caused an immediate </w:t>
      </w:r>
      <w:r w:rsidRPr="00BF3402">
        <w:rPr>
          <w:rFonts w:eastAsia="MS Mincho"/>
          <w:szCs w:val="24"/>
          <w:lang w:eastAsia="ja-JP"/>
        </w:rPr>
        <w:t>exogenous</w:t>
      </w:r>
      <w:r w:rsidRPr="00BF3402" w:rsidDel="007855E3">
        <w:rPr>
          <w:rFonts w:eastAsia="MS Mincho"/>
          <w:szCs w:val="24"/>
          <w:lang w:eastAsia="ja-JP"/>
        </w:rPr>
        <w:t xml:space="preserve"> shock on the Georgian economy through four main transmission channels: (i) slowdown in the tourism sector, (ii) trade disruptions, (iii) capital outflow, and (iv) increase in the cost of finance. The tourism</w:t>
      </w:r>
      <w:r w:rsidRPr="00BF3402">
        <w:rPr>
          <w:rFonts w:eastAsia="MS Mincho"/>
          <w:szCs w:val="24"/>
          <w:lang w:eastAsia="ja-JP"/>
        </w:rPr>
        <w:t xml:space="preserve"> </w:t>
      </w:r>
      <w:r w:rsidRPr="00BF3402" w:rsidDel="006B3B28">
        <w:rPr>
          <w:rFonts w:eastAsia="MS Mincho"/>
          <w:szCs w:val="24"/>
          <w:lang w:eastAsia="ja-JP"/>
        </w:rPr>
        <w:t>sector</w:t>
      </w:r>
      <w:r w:rsidRPr="00BF3402">
        <w:rPr>
          <w:rFonts w:eastAsia="MS Mincho"/>
          <w:szCs w:val="24"/>
          <w:lang w:eastAsia="ja-JP"/>
        </w:rPr>
        <w:t xml:space="preserve">, which </w:t>
      </w:r>
      <w:r w:rsidRPr="00BF3402" w:rsidDel="006B3B28">
        <w:rPr>
          <w:rFonts w:eastAsia="MS Mincho"/>
          <w:szCs w:val="24"/>
          <w:lang w:eastAsia="ja-JP"/>
        </w:rPr>
        <w:t xml:space="preserve">contributed </w:t>
      </w:r>
      <w:r w:rsidRPr="00BF3402" w:rsidDel="007855E3">
        <w:rPr>
          <w:rFonts w:eastAsia="MS Mincho"/>
          <w:szCs w:val="24"/>
          <w:lang w:eastAsia="ja-JP"/>
        </w:rPr>
        <w:t xml:space="preserve">8.1% </w:t>
      </w:r>
      <w:r w:rsidRPr="00BF3402" w:rsidDel="006B3B28">
        <w:rPr>
          <w:rFonts w:eastAsia="MS Mincho"/>
          <w:szCs w:val="24"/>
          <w:lang w:eastAsia="ja-JP"/>
        </w:rPr>
        <w:t xml:space="preserve">to </w:t>
      </w:r>
      <w:r w:rsidRPr="00BF3402" w:rsidDel="007855E3">
        <w:rPr>
          <w:rFonts w:eastAsia="MS Mincho"/>
          <w:szCs w:val="24"/>
          <w:lang w:eastAsia="ja-JP"/>
        </w:rPr>
        <w:t>GDP in 2019</w:t>
      </w:r>
      <w:r w:rsidRPr="00BF3402">
        <w:rPr>
          <w:rFonts w:eastAsia="MS Mincho"/>
          <w:szCs w:val="24"/>
          <w:lang w:eastAsia="ja-JP"/>
        </w:rPr>
        <w:t>,</w:t>
      </w:r>
      <w:r w:rsidRPr="00BF3402" w:rsidDel="006B3B28">
        <w:rPr>
          <w:rFonts w:eastAsia="MS Mincho"/>
          <w:szCs w:val="24"/>
          <w:lang w:eastAsia="ja-JP"/>
        </w:rPr>
        <w:t xml:space="preserve"> </w:t>
      </w:r>
      <w:r w:rsidRPr="00BF3402">
        <w:rPr>
          <w:rFonts w:eastAsia="MS Mincho"/>
          <w:szCs w:val="24"/>
          <w:lang w:eastAsia="ja-JP"/>
        </w:rPr>
        <w:t xml:space="preserve">was </w:t>
      </w:r>
      <w:r w:rsidRPr="00BF3402" w:rsidDel="007855E3">
        <w:rPr>
          <w:rFonts w:eastAsia="MS Mincho"/>
          <w:szCs w:val="24"/>
          <w:lang w:eastAsia="ja-JP"/>
        </w:rPr>
        <w:t>severely hit by travel restrictions and recorded a 58.6% decline in international visitor trips in March 2020, year-on-year.</w:t>
      </w:r>
      <w:r w:rsidRPr="00CA48A4">
        <w:rPr>
          <w:rFonts w:eastAsia="MS Mincho"/>
          <w:vertAlign w:val="superscript"/>
          <w:lang w:eastAsia="ja-JP"/>
        </w:rPr>
        <w:footnoteReference w:id="11"/>
      </w:r>
      <w:r w:rsidRPr="00CA48A4">
        <w:rPr>
          <w:rFonts w:eastAsia="MS Mincho"/>
          <w:vertAlign w:val="superscript"/>
          <w:lang w:eastAsia="ja-JP"/>
        </w:rPr>
        <w:footnoteReference w:id="12"/>
      </w:r>
      <w:r w:rsidRPr="00BF3402">
        <w:rPr>
          <w:rFonts w:eastAsia="MS Mincho"/>
          <w:szCs w:val="24"/>
          <w:lang w:eastAsia="ja-JP"/>
        </w:rPr>
        <w:t xml:space="preserve"> </w:t>
      </w:r>
      <w:r w:rsidRPr="00BF3402" w:rsidDel="007855E3">
        <w:rPr>
          <w:rFonts w:eastAsia="MS Mincho"/>
          <w:szCs w:val="24"/>
          <w:lang w:eastAsia="ja-JP"/>
        </w:rPr>
        <w:t>Contracted international trade affects exports and imports.</w:t>
      </w:r>
      <w:r w:rsidRPr="00CA48A4">
        <w:rPr>
          <w:rFonts w:eastAsia="MS Mincho"/>
          <w:vertAlign w:val="superscript"/>
          <w:lang w:eastAsia="ja-JP"/>
        </w:rPr>
        <w:footnoteReference w:id="13"/>
      </w:r>
      <w:r w:rsidRPr="00BF3402">
        <w:rPr>
          <w:rFonts w:eastAsia="MS Mincho"/>
          <w:szCs w:val="24"/>
          <w:lang w:eastAsia="ja-JP"/>
        </w:rPr>
        <w:t xml:space="preserve"> </w:t>
      </w:r>
      <w:r w:rsidRPr="00BF3402" w:rsidDel="007855E3">
        <w:rPr>
          <w:rFonts w:eastAsia="MS Mincho"/>
          <w:szCs w:val="24"/>
          <w:lang w:eastAsia="ja-JP"/>
        </w:rPr>
        <w:t>Reduced external demand is expected to shrink</w:t>
      </w:r>
      <w:r w:rsidRPr="00BF3402">
        <w:rPr>
          <w:rFonts w:eastAsia="MS Mincho"/>
          <w:szCs w:val="24"/>
          <w:lang w:eastAsia="ja-JP"/>
        </w:rPr>
        <w:t xml:space="preserve"> </w:t>
      </w:r>
      <w:r w:rsidRPr="00BF3402" w:rsidDel="007855E3">
        <w:rPr>
          <w:rFonts w:eastAsia="MS Mincho"/>
          <w:szCs w:val="24"/>
          <w:lang w:eastAsia="ja-JP"/>
        </w:rPr>
        <w:t>exports by 39.0% in 2020. Imports will reduce by</w:t>
      </w:r>
      <w:r w:rsidRPr="00BF3402">
        <w:rPr>
          <w:rFonts w:eastAsia="MS Mincho"/>
          <w:szCs w:val="24"/>
          <w:lang w:eastAsia="ja-JP"/>
        </w:rPr>
        <w:t xml:space="preserve"> </w:t>
      </w:r>
      <w:r w:rsidRPr="00BF3402" w:rsidDel="007855E3">
        <w:rPr>
          <w:rFonts w:eastAsia="MS Mincho"/>
          <w:szCs w:val="24"/>
          <w:lang w:eastAsia="ja-JP"/>
        </w:rPr>
        <w:t>29.3% and</w:t>
      </w:r>
      <w:r w:rsidRPr="00BF3402">
        <w:rPr>
          <w:rFonts w:eastAsia="MS Mincho"/>
          <w:szCs w:val="24"/>
          <w:lang w:eastAsia="ja-JP"/>
        </w:rPr>
        <w:t xml:space="preserve"> </w:t>
      </w:r>
      <w:r w:rsidRPr="00BF3402" w:rsidDel="007855E3">
        <w:rPr>
          <w:rFonts w:eastAsia="MS Mincho"/>
          <w:szCs w:val="24"/>
          <w:lang w:eastAsia="ja-JP"/>
        </w:rPr>
        <w:t>affect availability of intermediary goods for manufacturing.</w:t>
      </w:r>
      <w:r w:rsidRPr="00BF3402">
        <w:rPr>
          <w:rFonts w:eastAsia="MS Mincho"/>
          <w:szCs w:val="24"/>
          <w:lang w:eastAsia="ja-JP"/>
        </w:rPr>
        <w:t xml:space="preserve"> </w:t>
      </w:r>
      <w:r w:rsidRPr="00BF3402" w:rsidDel="007855E3">
        <w:rPr>
          <w:rFonts w:eastAsia="MS Mincho"/>
          <w:szCs w:val="24"/>
          <w:lang w:eastAsia="ja-JP"/>
        </w:rPr>
        <w:t>Foreign direct investment is currently expected to decline by 25.4% in 2020, compared to 2019.</w:t>
      </w:r>
      <w:r w:rsidRPr="00BF3402">
        <w:rPr>
          <w:rFonts w:eastAsia="MS Mincho"/>
          <w:szCs w:val="24"/>
          <w:lang w:eastAsia="ja-JP"/>
        </w:rPr>
        <w:t xml:space="preserve"> </w:t>
      </w:r>
      <w:r w:rsidRPr="00BF3402" w:rsidDel="007855E3">
        <w:rPr>
          <w:rFonts w:eastAsia="MS Mincho"/>
          <w:szCs w:val="24"/>
          <w:lang w:eastAsia="ja-JP"/>
        </w:rPr>
        <w:t>Additionally, remittances are expected to reduce by 15% in 2020 compared to 2019</w:t>
      </w:r>
      <w:r w:rsidRPr="00BF3402">
        <w:rPr>
          <w:rFonts w:eastAsia="MS Mincho"/>
          <w:szCs w:val="24"/>
          <w:lang w:eastAsia="ja-JP"/>
        </w:rPr>
        <w:t xml:space="preserve"> and </w:t>
      </w:r>
      <w:r w:rsidRPr="00BF3402" w:rsidDel="007855E3">
        <w:rPr>
          <w:rFonts w:eastAsia="MS Mincho"/>
          <w:szCs w:val="24"/>
          <w:lang w:eastAsia="ja-JP"/>
        </w:rPr>
        <w:t>have contracted by 9.0% in March 2020</w:t>
      </w:r>
      <w:r w:rsidRPr="00BF3402">
        <w:rPr>
          <w:rFonts w:eastAsia="MS Mincho"/>
          <w:szCs w:val="24"/>
          <w:lang w:eastAsia="ja-JP"/>
        </w:rPr>
        <w:t xml:space="preserve"> compared with March 2019</w:t>
      </w:r>
      <w:r w:rsidRPr="00BF3402" w:rsidDel="007855E3">
        <w:rPr>
          <w:rFonts w:eastAsia="MS Mincho"/>
          <w:szCs w:val="24"/>
          <w:lang w:eastAsia="ja-JP"/>
        </w:rPr>
        <w:t>.</w:t>
      </w:r>
      <w:r w:rsidRPr="00CA48A4">
        <w:rPr>
          <w:rFonts w:eastAsia="MS Mincho"/>
          <w:vertAlign w:val="superscript"/>
          <w:lang w:eastAsia="ja-JP"/>
        </w:rPr>
        <w:footnoteReference w:id="14"/>
      </w:r>
      <w:r w:rsidRPr="00BF3402">
        <w:rPr>
          <w:rFonts w:eastAsia="MS Mincho"/>
          <w:szCs w:val="24"/>
          <w:lang w:eastAsia="ja-JP"/>
        </w:rPr>
        <w:t xml:space="preserve"> Contagion effects of the global recessionary shock caused by COVID-19 will be significantly compounded by the effect of containment measures and lockdown imposed by the government since the declaration of State of Emergency in March 2020 (more details in Box 1 below). These are likely to lead to a sharp decline in aggregate domestic demand</w:t>
      </w:r>
      <w:r w:rsidRPr="00CA48A4">
        <w:rPr>
          <w:rFonts w:eastAsia="MS Mincho"/>
          <w:vertAlign w:val="superscript"/>
          <w:lang w:eastAsia="ja-JP"/>
        </w:rPr>
        <w:footnoteReference w:id="15"/>
      </w:r>
      <w:r w:rsidRPr="00BF3402">
        <w:rPr>
          <w:rFonts w:eastAsia="MS Mincho"/>
          <w:szCs w:val="24"/>
          <w:lang w:eastAsia="ja-JP"/>
        </w:rPr>
        <w:t>, Georgia’s growth engine which captured 65% of GDP in 2019 and is expected to cause cancellation and delays of investments, affecting the business environment and investor confidence. Domestic production will also suffer, both as a result of NPIs as well as of disruptions to global value chains, trade, and investment, exacerbating the recessionary economic and social impact of the crisis. Updated estimates by the International Monetary Fund (IMF) and the Ministry of Finance (MOF) predict real GDP to contract by 4% in 2020 - a sharp turn compared to the earlier estimated 4.3% growth (Figure 4).</w:t>
      </w:r>
      <w:r w:rsidRPr="00CA48A4">
        <w:rPr>
          <w:rFonts w:eastAsia="MS Mincho"/>
          <w:vertAlign w:val="superscript"/>
          <w:lang w:eastAsia="ja-JP"/>
        </w:rPr>
        <w:footnoteReference w:id="16"/>
      </w:r>
    </w:p>
    <w:p w14:paraId="3B1A6D0F" w14:textId="77777777" w:rsidR="00BF3402" w:rsidRDefault="00BF3402" w:rsidP="00BF3402">
      <w:pPr>
        <w:rPr>
          <w:rFonts w:eastAsia="MS Mincho"/>
          <w:szCs w:val="24"/>
          <w:lang w:eastAsia="ja-JP"/>
        </w:rPr>
      </w:pPr>
    </w:p>
    <w:p w14:paraId="5235A104" w14:textId="6BB2880E" w:rsidR="00BF3402" w:rsidRPr="00BF3402" w:rsidRDefault="00BF3402" w:rsidP="00BF3402">
      <w:pPr>
        <w:rPr>
          <w:rFonts w:eastAsia="MS Mincho"/>
          <w:szCs w:val="24"/>
          <w:lang w:eastAsia="ja-JP"/>
        </w:rPr>
      </w:pPr>
      <w:r w:rsidRPr="00BF3402">
        <w:rPr>
          <w:rFonts w:eastAsia="MS Mincho"/>
          <w:szCs w:val="24"/>
          <w:lang w:eastAsia="ja-JP"/>
        </w:rPr>
        <w:t>5.</w:t>
      </w:r>
      <w:r w:rsidRPr="00BF3402">
        <w:rPr>
          <w:rFonts w:eastAsia="MS Mincho"/>
          <w:szCs w:val="24"/>
          <w:lang w:eastAsia="ja-JP"/>
        </w:rPr>
        <w:tab/>
      </w:r>
      <w:r w:rsidRPr="00BF3402">
        <w:rPr>
          <w:rFonts w:eastAsia="MS Mincho"/>
          <w:b/>
          <w:szCs w:val="24"/>
          <w:lang w:eastAsia="ja-JP"/>
        </w:rPr>
        <w:t xml:space="preserve">Impact </w:t>
      </w:r>
      <w:r w:rsidRPr="00BF3402">
        <w:rPr>
          <w:rFonts w:eastAsia="MS Mincho"/>
          <w:b/>
          <w:bCs/>
          <w:szCs w:val="24"/>
          <w:lang w:eastAsia="ja-JP"/>
        </w:rPr>
        <w:t>of COVID-19</w:t>
      </w:r>
      <w:r w:rsidRPr="00BF3402">
        <w:rPr>
          <w:rFonts w:eastAsia="MS Mincho"/>
          <w:b/>
          <w:szCs w:val="24"/>
          <w:lang w:eastAsia="ja-JP"/>
        </w:rPr>
        <w:t xml:space="preserve"> on </w:t>
      </w:r>
      <w:r w:rsidRPr="00BF3402">
        <w:rPr>
          <w:rFonts w:eastAsia="MS Mincho"/>
          <w:b/>
          <w:bCs/>
          <w:szCs w:val="24"/>
          <w:lang w:eastAsia="ja-JP"/>
        </w:rPr>
        <w:t>public</w:t>
      </w:r>
      <w:r w:rsidRPr="00BF3402">
        <w:rPr>
          <w:rFonts w:eastAsia="MS Mincho"/>
          <w:b/>
          <w:szCs w:val="24"/>
          <w:lang w:eastAsia="ja-JP"/>
        </w:rPr>
        <w:t xml:space="preserve"> finances</w:t>
      </w:r>
      <w:r w:rsidRPr="00BF3402">
        <w:rPr>
          <w:rFonts w:eastAsia="MS Mincho"/>
          <w:szCs w:val="24"/>
          <w:lang w:eastAsia="ja-JP"/>
        </w:rPr>
        <w:t>.</w:t>
      </w:r>
      <w:r w:rsidRPr="00BF3402">
        <w:rPr>
          <w:rFonts w:eastAsia="MS Mincho"/>
          <w:szCs w:val="24"/>
          <w:u w:val="single"/>
          <w:lang w:eastAsia="ja-JP"/>
        </w:rPr>
        <w:t xml:space="preserve"> </w:t>
      </w:r>
      <w:r w:rsidRPr="00BF3402">
        <w:rPr>
          <w:rFonts w:eastAsia="MS Mincho"/>
          <w:szCs w:val="24"/>
          <w:lang w:eastAsia="ja-JP"/>
        </w:rPr>
        <w:t xml:space="preserve">The impact on state finances is expected to be significant. Recent estimates suggest state revenues to decrease by $452 million because of COVID-19. This sharp decline is driven by an expected fall in the tax-to-GDP ratio from 23.7% to 21.4% due to slowdown in economic activity. In turn, public expenditure will increase to 32.9% of GDP, compared with the original estimate of 28.3% for 2020. Increases in public expenditure, combined with a sharp decline in public revenue as a result of COVID-19, will widen the public deficit, from 2.2% to 8.1% of GDP in 2020. Public debt-to-GDP ratio will, as a result, rise from 44.5% in 2019 to 62.5% in 2020 to help meet the estimated financing gap of $1.272 billion which will emerge as a result of COVID-19, its impact on the economy and the cost of government response. </w:t>
      </w:r>
      <w:r w:rsidRPr="00BF3402" w:rsidDel="007855E3">
        <w:rPr>
          <w:rFonts w:eastAsia="MS Mincho"/>
          <w:szCs w:val="24"/>
          <w:lang w:eastAsia="ja-JP"/>
        </w:rPr>
        <w:t>Deteriorating external balances</w:t>
      </w:r>
      <w:r w:rsidRPr="00BF3402">
        <w:rPr>
          <w:rFonts w:eastAsia="MS Mincho"/>
          <w:szCs w:val="24"/>
          <w:lang w:eastAsia="ja-JP"/>
        </w:rPr>
        <w:t xml:space="preserve"> </w:t>
      </w:r>
      <w:r w:rsidRPr="00BF3402" w:rsidDel="007855E3">
        <w:rPr>
          <w:rFonts w:eastAsia="MS Mincho"/>
          <w:szCs w:val="24"/>
          <w:lang w:eastAsia="ja-JP"/>
        </w:rPr>
        <w:t>are already resulting in</w:t>
      </w:r>
      <w:r w:rsidRPr="00BF3402">
        <w:rPr>
          <w:rFonts w:eastAsia="MS Mincho"/>
          <w:szCs w:val="24"/>
          <w:lang w:eastAsia="ja-JP"/>
        </w:rPr>
        <w:t xml:space="preserve"> </w:t>
      </w:r>
      <w:r w:rsidRPr="00BF3402" w:rsidDel="007855E3">
        <w:rPr>
          <w:rFonts w:eastAsia="MS Mincho"/>
          <w:szCs w:val="24"/>
          <w:lang w:eastAsia="ja-JP"/>
        </w:rPr>
        <w:t>increased pressure on exchange rate</w:t>
      </w:r>
      <w:r w:rsidRPr="00BF3402">
        <w:rPr>
          <w:rFonts w:eastAsia="MS Mincho"/>
          <w:szCs w:val="24"/>
          <w:lang w:eastAsia="ja-JP"/>
        </w:rPr>
        <w:t>s</w:t>
      </w:r>
      <w:r w:rsidRPr="00BF3402" w:rsidDel="007855E3">
        <w:rPr>
          <w:rFonts w:eastAsia="MS Mincho"/>
          <w:szCs w:val="24"/>
          <w:lang w:eastAsia="ja-JP"/>
        </w:rPr>
        <w:t xml:space="preserve"> and higher yield spreads with US Treasury bonds, making access to international financing more expensive</w:t>
      </w:r>
      <w:r w:rsidRPr="00BF3402">
        <w:rPr>
          <w:rFonts w:eastAsia="MS Mincho"/>
          <w:szCs w:val="24"/>
          <w:lang w:eastAsia="ja-JP"/>
        </w:rPr>
        <w:t xml:space="preserve"> (Figure 3).</w:t>
      </w:r>
      <w:r w:rsidRPr="00BF3402">
        <w:rPr>
          <w:rFonts w:eastAsia="MS Mincho"/>
          <w:vertAlign w:val="superscript"/>
          <w:lang w:eastAsia="ja-JP"/>
        </w:rPr>
        <w:footnoteReference w:id="17"/>
      </w:r>
      <w:r w:rsidRPr="00BF3402">
        <w:rPr>
          <w:rFonts w:eastAsia="MS Mincho"/>
          <w:szCs w:val="24"/>
          <w:lang w:eastAsia="ja-JP"/>
        </w:rPr>
        <w:t xml:space="preserve"> As a result, the government will have to rely on contributions from development partners and domestic borrowing to finance the shortfall. </w:t>
      </w:r>
    </w:p>
    <w:p w14:paraId="02F83655" w14:textId="77777777" w:rsidR="00BF3402" w:rsidRDefault="00BF3402" w:rsidP="00BF3402">
      <w:pPr>
        <w:rPr>
          <w:rFonts w:eastAsia="MS Mincho"/>
          <w:szCs w:val="24"/>
          <w:lang w:eastAsia="ja-JP"/>
        </w:rPr>
      </w:pPr>
    </w:p>
    <w:p w14:paraId="3E63C848" w14:textId="6676953F" w:rsidR="00BF3402" w:rsidRDefault="00BF3402" w:rsidP="00BF3402">
      <w:pPr>
        <w:rPr>
          <w:rFonts w:eastAsia="MS Mincho"/>
          <w:szCs w:val="24"/>
          <w:lang w:eastAsia="ja-JP"/>
        </w:rPr>
      </w:pPr>
      <w:r w:rsidRPr="00BF3402">
        <w:rPr>
          <w:rFonts w:eastAsia="MS Mincho"/>
          <w:szCs w:val="24"/>
          <w:lang w:eastAsia="ja-JP"/>
        </w:rPr>
        <w:t xml:space="preserve">6. </w:t>
      </w:r>
      <w:r w:rsidRPr="00BF3402">
        <w:rPr>
          <w:rFonts w:eastAsia="MS Mincho"/>
          <w:szCs w:val="24"/>
          <w:lang w:eastAsia="ja-JP"/>
        </w:rPr>
        <w:tab/>
      </w:r>
      <w:r w:rsidRPr="00BF3402">
        <w:rPr>
          <w:rFonts w:eastAsia="MS Mincho"/>
          <w:b/>
          <w:bCs/>
          <w:szCs w:val="24"/>
          <w:lang w:eastAsia="ja-JP"/>
        </w:rPr>
        <w:t>Impact of COVID-19 on unemployment, poverty and gender equality.</w:t>
      </w:r>
      <w:r w:rsidRPr="00BF3402">
        <w:rPr>
          <w:rFonts w:eastAsia="MS Mincho"/>
          <w:szCs w:val="24"/>
          <w:lang w:eastAsia="ja-JP"/>
        </w:rPr>
        <w:t xml:space="preserve"> Under the worst case scenario and without public intervention to avoid mass retrenchment, unemployment could almost triple,</w:t>
      </w:r>
      <w:r w:rsidRPr="00BF3402">
        <w:rPr>
          <w:rFonts w:eastAsia="MS Mincho"/>
          <w:vertAlign w:val="superscript"/>
          <w:lang w:eastAsia="ja-JP"/>
        </w:rPr>
        <w:footnoteReference w:id="18"/>
      </w:r>
      <w:r w:rsidRPr="00BF3402">
        <w:rPr>
          <w:rFonts w:eastAsia="MS Mincho"/>
          <w:szCs w:val="24"/>
          <w:lang w:eastAsia="ja-JP"/>
        </w:rPr>
        <w:t xml:space="preserve"> from 11.6% in 2019 to 31.5% in 2020.</w:t>
      </w:r>
      <w:r w:rsidRPr="00BF3402">
        <w:rPr>
          <w:rFonts w:eastAsia="MS Mincho"/>
          <w:vertAlign w:val="superscript"/>
          <w:lang w:eastAsia="ja-JP"/>
        </w:rPr>
        <w:footnoteReference w:id="19"/>
      </w:r>
      <w:r w:rsidRPr="00BF3402">
        <w:rPr>
          <w:rFonts w:eastAsia="MS Mincho"/>
          <w:szCs w:val="24"/>
          <w:lang w:eastAsia="ja-JP"/>
        </w:rPr>
        <w:t xml:space="preserve"> Restrictions on economic activity across almost all industries place hundreds of thousands at risk, either by downward adjustments to income or working hours, or by completely losing their jobs. A total of 381,548 workers</w:t>
      </w:r>
      <w:r w:rsidRPr="00BF3402">
        <w:rPr>
          <w:rFonts w:eastAsia="MS Mincho"/>
          <w:vertAlign w:val="superscript"/>
          <w:lang w:eastAsia="ja-JP"/>
        </w:rPr>
        <w:footnoteReference w:id="20"/>
      </w:r>
      <w:r w:rsidRPr="00BF3402">
        <w:rPr>
          <w:rFonts w:eastAsia="MS Mincho"/>
          <w:szCs w:val="24"/>
          <w:lang w:eastAsia="ja-JP"/>
        </w:rPr>
        <w:t>, or 23% of all hired and self-employed workers, - are at high risk of job loss as a result of the COVID-19 crisis.</w:t>
      </w:r>
      <w:r w:rsidRPr="00BF3402">
        <w:rPr>
          <w:rFonts w:eastAsia="MS Mincho"/>
          <w:vertAlign w:val="superscript"/>
          <w:lang w:eastAsia="ja-JP"/>
        </w:rPr>
        <w:footnoteReference w:id="21"/>
      </w:r>
      <w:r w:rsidRPr="00BF3402">
        <w:rPr>
          <w:rFonts w:eastAsia="MS Mincho"/>
          <w:szCs w:val="24"/>
          <w:lang w:eastAsia="ja-JP"/>
        </w:rPr>
        <w:t xml:space="preserve"> Such sharp increases in unemployment have the potential of eradicating years of inclusive economic growth, potentially reversing a decade-long decline in absolute poverty.</w:t>
      </w:r>
      <w:r w:rsidRPr="00BF3402">
        <w:rPr>
          <w:rFonts w:eastAsia="MS Mincho"/>
          <w:vertAlign w:val="superscript"/>
          <w:lang w:eastAsia="ja-JP"/>
        </w:rPr>
        <w:footnoteReference w:id="22"/>
      </w:r>
      <w:r w:rsidRPr="00BF3402">
        <w:rPr>
          <w:rFonts w:eastAsia="MS Mincho"/>
          <w:szCs w:val="24"/>
          <w:lang w:eastAsia="ja-JP"/>
        </w:rPr>
        <w:t xml:space="preserve"> While absolute poverty ($1.9/day) has declined sharply from 12.2% in 2010 to 4.5% in 2018, the national poverty line indicates that one in 5 Georgians (20.1% in 2018) still lives in poverty. Roughly 40% of Georgians currently living above the national poverty threshold remain vulnerable to poverty, with monthly incomes precariously close to the poverty line.</w:t>
      </w:r>
      <w:r w:rsidRPr="00BF3402">
        <w:rPr>
          <w:rFonts w:eastAsia="MS Mincho"/>
          <w:vertAlign w:val="superscript"/>
          <w:lang w:eastAsia="ja-JP"/>
        </w:rPr>
        <w:footnoteReference w:id="23"/>
      </w:r>
      <w:r w:rsidRPr="00BF3402">
        <w:rPr>
          <w:rFonts w:eastAsia="MS Mincho"/>
          <w:szCs w:val="24"/>
          <w:lang w:eastAsia="ja-JP"/>
        </w:rPr>
        <w:t xml:space="preserve"> Their dependence on labor income implies that even a small increase in the unemployment rate could push many households into poverty, starting with already vulnerable households.</w:t>
      </w:r>
      <w:r w:rsidRPr="00BF3402">
        <w:rPr>
          <w:rFonts w:eastAsia="MS Mincho"/>
          <w:vertAlign w:val="superscript"/>
          <w:lang w:eastAsia="ja-JP"/>
        </w:rPr>
        <w:footnoteReference w:id="24"/>
      </w:r>
      <w:r w:rsidRPr="00BF3402">
        <w:rPr>
          <w:rFonts w:eastAsia="MS Mincho"/>
          <w:szCs w:val="24"/>
          <w:lang w:eastAsia="ja-JP"/>
        </w:rPr>
        <w:t xml:space="preserve"> The loss of labor income combined with a reduction in remittances will have a direct bearing on domestic consumption and further threaten employment and incomes.</w:t>
      </w:r>
      <w:r w:rsidRPr="00BF3402">
        <w:rPr>
          <w:rFonts w:eastAsia="MS Mincho"/>
          <w:vertAlign w:val="superscript"/>
          <w:lang w:eastAsia="ja-JP"/>
        </w:rPr>
        <w:footnoteReference w:id="25"/>
      </w:r>
      <w:r w:rsidRPr="00BF3402">
        <w:rPr>
          <w:rFonts w:eastAsia="MS Mincho"/>
          <w:szCs w:val="24"/>
          <w:lang w:eastAsia="ja-JP"/>
        </w:rPr>
        <w:t xml:space="preserve"> The economic impact of COVID-19 is also expected to contribute to gender economic imbalances. As of December 2019, there were 1.66 million hired and self-employed workers in Georgia, 46% of which are women.</w:t>
      </w:r>
      <w:r w:rsidRPr="00BF3402">
        <w:rPr>
          <w:rFonts w:eastAsia="MS Mincho"/>
          <w:vertAlign w:val="superscript"/>
          <w:lang w:eastAsia="ja-JP"/>
        </w:rPr>
        <w:footnoteReference w:id="26"/>
      </w:r>
      <w:r w:rsidRPr="00BF3402">
        <w:rPr>
          <w:rFonts w:eastAsia="MS Mincho"/>
          <w:szCs w:val="24"/>
          <w:lang w:eastAsia="ja-JP"/>
        </w:rPr>
        <w:t xml:space="preserve"> Recent estimates suggest that 17% of all women formal workers are at high risk of job loss, only marginally below the estimate share of men workers at 18.7%. With women earning only 64% of men’s average earnings, potential downward adjustments to income or work hours would likely affect women more severely.</w:t>
      </w:r>
      <w:r w:rsidRPr="00BF3402">
        <w:rPr>
          <w:rFonts w:eastAsia="MS Mincho"/>
          <w:vertAlign w:val="superscript"/>
          <w:lang w:eastAsia="ja-JP"/>
        </w:rPr>
        <w:footnoteReference w:id="27"/>
      </w:r>
      <w:r w:rsidRPr="00BF3402">
        <w:rPr>
          <w:rFonts w:eastAsia="MS Mincho"/>
          <w:szCs w:val="24"/>
          <w:lang w:eastAsia="ja-JP"/>
        </w:rPr>
        <w:t xml:space="preserve">   Furthermore, an estimated 60% of all workers in the tourism sector, one of the most affected sectors in Georgia and  which captures 7.8% of total employment, are women. The low average salaries for women in the sector</w:t>
      </w:r>
      <w:r w:rsidRPr="00BF3402">
        <w:rPr>
          <w:rFonts w:eastAsia="MS Mincho"/>
          <w:vertAlign w:val="superscript"/>
          <w:lang w:eastAsia="ja-JP"/>
        </w:rPr>
        <w:footnoteReference w:id="28"/>
      </w:r>
      <w:r w:rsidRPr="00BF3402">
        <w:rPr>
          <w:rFonts w:eastAsia="MS Mincho"/>
          <w:szCs w:val="24"/>
          <w:lang w:eastAsia="ja-JP"/>
        </w:rPr>
        <w:t>, roughly a third of the national average salaries in 2017</w:t>
      </w:r>
      <w:r w:rsidRPr="00BF3402">
        <w:rPr>
          <w:rFonts w:eastAsia="MS Mincho"/>
          <w:vertAlign w:val="superscript"/>
          <w:lang w:eastAsia="ja-JP"/>
        </w:rPr>
        <w:footnoteReference w:id="29"/>
      </w:r>
      <w:r w:rsidRPr="00BF3402">
        <w:rPr>
          <w:rFonts w:eastAsia="MS Mincho"/>
          <w:szCs w:val="24"/>
          <w:lang w:eastAsia="ja-JP"/>
        </w:rPr>
        <w:t>, further exacerbate the impact that a reduction in income in this sector would have on women. In addition to changes in formal employment, those in the informal sector are also expected to suffer from the impact of COVID-19. While accurate data on vulnerability of these sources of income is difficult to access, it is estimated that 23% of Georgians depend on income from informal labor for their livelihoods, without any significant discrepancy in the share of women and men. Finally, the expected reduction in remittances by 15% is likely to impact women disproportionately, as they represent 61.8% of all remittance recipients in Georgia.</w:t>
      </w:r>
      <w:r w:rsidRPr="00BF3402">
        <w:rPr>
          <w:rFonts w:eastAsia="MS Mincho"/>
          <w:vertAlign w:val="superscript"/>
          <w:lang w:eastAsia="ja-JP"/>
        </w:rPr>
        <w:footnoteReference w:id="30"/>
      </w:r>
    </w:p>
    <w:p w14:paraId="75295DBA" w14:textId="77777777" w:rsidR="009C0341" w:rsidRPr="009C0341" w:rsidRDefault="009C0341" w:rsidP="00BF3402">
      <w:pPr>
        <w:rPr>
          <w:rFonts w:eastAsia="MS Mincho"/>
          <w:szCs w:val="24"/>
          <w:lang w:val="en-PH" w:eastAsia="ja-JP"/>
        </w:rPr>
      </w:pPr>
    </w:p>
    <w:p w14:paraId="2A44B7B4" w14:textId="77777777" w:rsidR="00BF3402" w:rsidRPr="00BF3402" w:rsidRDefault="00BF3402" w:rsidP="00BF3402">
      <w:pPr>
        <w:rPr>
          <w:rFonts w:eastAsia="MS Mincho"/>
          <w:szCs w:val="24"/>
          <w:lang w:eastAsia="ja-JP"/>
        </w:rPr>
      </w:pPr>
    </w:p>
    <w:p w14:paraId="406640DE" w14:textId="286A4AC8" w:rsidR="00BF3402" w:rsidRPr="009C0341" w:rsidRDefault="00BF3402" w:rsidP="009C0341">
      <w:pPr>
        <w:numPr>
          <w:ilvl w:val="0"/>
          <w:numId w:val="12"/>
        </w:numPr>
        <w:tabs>
          <w:tab w:val="clear" w:pos="1080"/>
          <w:tab w:val="left" w:pos="810"/>
        </w:tabs>
        <w:spacing w:after="240"/>
        <w:ind w:left="720"/>
        <w:jc w:val="left"/>
        <w:rPr>
          <w:rFonts w:cs="Arial"/>
          <w:b/>
          <w:bCs/>
          <w:kern w:val="32"/>
          <w:szCs w:val="22"/>
        </w:rPr>
      </w:pPr>
      <w:r>
        <w:rPr>
          <w:rFonts w:cs="Arial"/>
          <w:b/>
          <w:bCs/>
          <w:kern w:val="32"/>
          <w:szCs w:val="22"/>
        </w:rPr>
        <w:t>Government Response</w:t>
      </w:r>
    </w:p>
    <w:p w14:paraId="2315D97A" w14:textId="1844EC5F" w:rsidR="00BF3402" w:rsidRDefault="00BF3402" w:rsidP="00CA48A4">
      <w:pPr>
        <w:pStyle w:val="ListParagraph"/>
        <w:ind w:left="0"/>
        <w:contextualSpacing w:val="0"/>
        <w:rPr>
          <w:rFonts w:eastAsia="MS Mincho"/>
          <w:szCs w:val="24"/>
          <w:lang w:eastAsia="ja-JP"/>
        </w:rPr>
      </w:pPr>
    </w:p>
    <w:p w14:paraId="5F692D8B" w14:textId="1FDE919F" w:rsidR="009C0341" w:rsidRDefault="009C0341" w:rsidP="009C0341">
      <w:pPr>
        <w:rPr>
          <w:rFonts w:eastAsia="MS Mincho"/>
          <w:szCs w:val="24"/>
          <w:lang w:eastAsia="ja-JP"/>
        </w:rPr>
      </w:pPr>
      <w:r w:rsidRPr="009C0341">
        <w:rPr>
          <w:rFonts w:eastAsia="MS Mincho"/>
          <w:szCs w:val="24"/>
          <w:lang w:eastAsia="ja-JP"/>
        </w:rPr>
        <w:t>7.</w:t>
      </w:r>
      <w:r>
        <w:rPr>
          <w:rFonts w:eastAsia="MS Mincho"/>
          <w:b/>
          <w:bCs/>
          <w:szCs w:val="24"/>
          <w:lang w:eastAsia="ja-JP"/>
        </w:rPr>
        <w:t xml:space="preserve"> </w:t>
      </w:r>
      <w:r>
        <w:rPr>
          <w:rFonts w:eastAsia="MS Mincho"/>
          <w:b/>
          <w:bCs/>
          <w:szCs w:val="24"/>
          <w:lang w:eastAsia="ja-JP"/>
        </w:rPr>
        <w:tab/>
      </w:r>
      <w:r w:rsidRPr="009C0341">
        <w:rPr>
          <w:rFonts w:eastAsia="MS Mincho"/>
          <w:b/>
          <w:bCs/>
          <w:szCs w:val="24"/>
          <w:lang w:eastAsia="ja-JP"/>
        </w:rPr>
        <w:t>Immediate and effective response to contain the spread of the Coronavirus.</w:t>
      </w:r>
      <w:r w:rsidRPr="009C0341">
        <w:rPr>
          <w:rFonts w:eastAsia="MS Mincho"/>
          <w:szCs w:val="24"/>
          <w:lang w:eastAsia="ja-JP"/>
        </w:rPr>
        <w:t xml:space="preserve"> Acknowledging fragility of its public health system to handle the Coronavirus pandemic, Georgia implemented strict containment measures very early on. On 21 March 2020, with a total of 47 confirmed cases of COVID-19, Georgia declared a state of emergency and published a comprehensive list of NPIs including restrictions on the movement of people, public gatherings, and cultural/sports events, as well as restrictions on the types of economic activities that are allowed to continue operating.</w:t>
      </w:r>
      <w:r w:rsidRPr="009C0341">
        <w:rPr>
          <w:rFonts w:eastAsia="MS Mincho"/>
          <w:szCs w:val="24"/>
          <w:vertAlign w:val="superscript"/>
          <w:lang w:eastAsia="ja-JP"/>
        </w:rPr>
        <w:footnoteReference w:id="31"/>
      </w:r>
      <w:r w:rsidRPr="009C0341">
        <w:rPr>
          <w:rFonts w:eastAsia="MS Mincho"/>
          <w:szCs w:val="24"/>
          <w:lang w:eastAsia="ja-JP"/>
        </w:rPr>
        <w:t xml:space="preserve"> While these measures have been largely successful in slowing the pace of contagion in Georgia, they bear significant socio-economic costs</w:t>
      </w:r>
      <w:r w:rsidR="00FA1903">
        <w:rPr>
          <w:rFonts w:eastAsia="MS Mincho"/>
          <w:szCs w:val="24"/>
          <w:lang w:eastAsia="ja-JP"/>
        </w:rPr>
        <w:t xml:space="preserve">, which may affect </w:t>
      </w:r>
      <w:r w:rsidRPr="009C0341">
        <w:rPr>
          <w:rFonts w:eastAsia="MS Mincho"/>
          <w:szCs w:val="24"/>
          <w:lang w:eastAsia="ja-JP"/>
        </w:rPr>
        <w:t>the poor and vulnerable disproportionately.</w:t>
      </w:r>
    </w:p>
    <w:p w14:paraId="18A3E3AB" w14:textId="77777777" w:rsidR="009C0341" w:rsidRDefault="009C0341" w:rsidP="009C0341">
      <w:pPr>
        <w:rPr>
          <w:rFonts w:eastAsia="MS Mincho"/>
          <w:szCs w:val="24"/>
          <w:lang w:eastAsia="ja-JP"/>
        </w:rPr>
      </w:pPr>
    </w:p>
    <w:p w14:paraId="3E82EDEC" w14:textId="77777777" w:rsidR="009C0341" w:rsidRDefault="009C0341" w:rsidP="009C0341">
      <w:pPr>
        <w:rPr>
          <w:rFonts w:eastAsia="MS Mincho"/>
          <w:szCs w:val="24"/>
          <w:lang w:val="en-PH" w:eastAsia="ja-JP"/>
        </w:rPr>
      </w:pPr>
      <w:r w:rsidRPr="009C0341">
        <w:rPr>
          <w:rFonts w:eastAsia="MS Mincho" w:cs="Arial"/>
          <w:szCs w:val="24"/>
          <w:lang w:eastAsia="ja-JP"/>
        </w:rPr>
        <w:t>8.</w:t>
      </w:r>
      <w:r>
        <w:rPr>
          <w:rFonts w:eastAsia="MS Mincho" w:cs="Arial"/>
          <w:b/>
          <w:bCs/>
          <w:szCs w:val="24"/>
          <w:lang w:eastAsia="ja-JP"/>
        </w:rPr>
        <w:t xml:space="preserve"> </w:t>
      </w:r>
      <w:r>
        <w:rPr>
          <w:rFonts w:eastAsia="MS Mincho" w:cs="Arial"/>
          <w:b/>
          <w:bCs/>
          <w:szCs w:val="24"/>
          <w:lang w:eastAsia="ja-JP"/>
        </w:rPr>
        <w:tab/>
      </w:r>
      <w:r w:rsidRPr="009C0341">
        <w:rPr>
          <w:rFonts w:eastAsia="MS Mincho" w:cs="Arial"/>
          <w:b/>
          <w:bCs/>
          <w:szCs w:val="24"/>
          <w:lang w:eastAsia="ja-JP"/>
        </w:rPr>
        <w:t>Government’s Anti-Crisis Plan: countercyclical development expenditure to mitigate socio-economic impact of COVID-19</w:t>
      </w:r>
      <w:r w:rsidRPr="009C0341">
        <w:rPr>
          <w:rFonts w:eastAsia="MS Mincho" w:cs="Arial"/>
          <w:szCs w:val="24"/>
          <w:lang w:eastAsia="ja-JP"/>
        </w:rPr>
        <w:t>. The comprehensive set of containment measures adopted by government will have a significant impact on economic activity and, subsequently, on poverty and loss of income. In order to mitigate the expected socioeconomic impacts of COVID-</w:t>
      </w:r>
      <w:r w:rsidRPr="009C0341" w:rsidDel="00B97092">
        <w:rPr>
          <w:rFonts w:eastAsia="MS Mincho" w:cs="Arial"/>
          <w:szCs w:val="24"/>
          <w:lang w:eastAsia="ja-JP"/>
        </w:rPr>
        <w:t>19</w:t>
      </w:r>
      <w:r w:rsidRPr="009C0341">
        <w:rPr>
          <w:rFonts w:eastAsia="MS Mincho" w:cs="Arial"/>
          <w:szCs w:val="24"/>
          <w:lang w:eastAsia="ja-JP"/>
        </w:rPr>
        <w:t xml:space="preserve">, the government adopted a comprehensive countercyclical development expenditure program. The response program, costed at GEL3.5 billion ($1.1 billion), or </w:t>
      </w:r>
      <w:r w:rsidRPr="009C0341">
        <w:rPr>
          <w:rFonts w:eastAsiaTheme="minorEastAsia"/>
          <w:szCs w:val="24"/>
          <w:lang w:eastAsia="ja-JP"/>
        </w:rPr>
        <w:t xml:space="preserve">7.4% of GDP (Table 2), </w:t>
      </w:r>
      <w:r w:rsidRPr="009C0341">
        <w:rPr>
          <w:rFonts w:eastAsia="MS Mincho" w:cs="Arial"/>
          <w:szCs w:val="24"/>
          <w:lang w:eastAsia="ja-JP"/>
        </w:rPr>
        <w:t xml:space="preserve">has a threefold objective: (i) increase the public health sector’s capacity to respond to the pandemic in the short and medium term; (ii) minimize losses to be incurred by affected private sector entities; and (iii) limit socio-economic costs on the poor and vulnerable through expanded assistance programs. </w:t>
      </w:r>
      <w:r w:rsidRPr="009C0341">
        <w:rPr>
          <w:rFonts w:eastAsia="MS Mincho"/>
          <w:szCs w:val="24"/>
          <w:lang w:eastAsia="ja-JP"/>
        </w:rPr>
        <w:t>The government’s countercyclical expenditure program has been drafted within a demonstrably sustainable macroeconomic background and will be implemented through a prudent budgetary framework.</w:t>
      </w:r>
      <w:r w:rsidRPr="009C0341">
        <w:rPr>
          <w:rFonts w:eastAsia="MS Mincho"/>
          <w:vertAlign w:val="superscript"/>
          <w:lang w:eastAsia="ja-JP"/>
        </w:rPr>
        <w:footnoteReference w:id="32"/>
      </w:r>
    </w:p>
    <w:p w14:paraId="32A49F73" w14:textId="77777777" w:rsidR="009C0341" w:rsidRDefault="009C0341" w:rsidP="009C0341">
      <w:pPr>
        <w:rPr>
          <w:rFonts w:eastAsia="MS Mincho"/>
          <w:szCs w:val="24"/>
          <w:lang w:val="en-PH" w:eastAsia="ja-JP"/>
        </w:rPr>
      </w:pPr>
    </w:p>
    <w:p w14:paraId="37DE389F" w14:textId="77777777" w:rsidR="00F65144" w:rsidRDefault="009C0341" w:rsidP="00F65144">
      <w:pPr>
        <w:rPr>
          <w:rFonts w:eastAsia="MS Mincho"/>
          <w:szCs w:val="24"/>
          <w:lang w:val="en-PH" w:eastAsia="ja-JP"/>
        </w:rPr>
      </w:pPr>
      <w:r>
        <w:rPr>
          <w:rFonts w:eastAsia="MS Mincho"/>
          <w:szCs w:val="24"/>
          <w:lang w:val="en-PH" w:eastAsia="ja-JP"/>
        </w:rPr>
        <w:t xml:space="preserve">9. </w:t>
      </w:r>
      <w:r>
        <w:rPr>
          <w:rFonts w:eastAsia="MS Mincho"/>
          <w:szCs w:val="24"/>
          <w:lang w:val="en-PH" w:eastAsia="ja-JP"/>
        </w:rPr>
        <w:tab/>
      </w:r>
      <w:r w:rsidRPr="009C0341">
        <w:rPr>
          <w:rFonts w:eastAsia="MS Mincho"/>
          <w:b/>
          <w:bCs/>
          <w:szCs w:val="24"/>
          <w:lang w:eastAsia="ja-JP"/>
        </w:rPr>
        <w:t>Health sector response for COVID-19.</w:t>
      </w:r>
      <w:r w:rsidRPr="009C0341">
        <w:rPr>
          <w:rFonts w:eastAsia="MS Mincho"/>
          <w:szCs w:val="24"/>
          <w:lang w:eastAsia="ja-JP"/>
        </w:rPr>
        <w:t xml:space="preserve"> The health system’s capacity to cope with an increasing number of COVID-19 cases is limited. While the strict containment measures adopted by the government have been widely effective in minimizing the number of cumulative cases, government acknowledges the need to strengthen the health system’s capacity for a medium-term approach. A rising number of cases would put the health system under increased strain. In response to the crisis government has mobilized a number of public and private facilities for confirmed cases as well as designated quarantine spaces for high risk groups. Facilities for primary triage and diagnostics are also available and seven laboratories have been designated for testing. In addition, 2000 general practitioners are being trained who will be tasked to take care of self-isolated patients with mild symptoms to reduce the burden on hospitals.</w:t>
      </w:r>
      <w:r w:rsidRPr="009C0341">
        <w:rPr>
          <w:rFonts w:eastAsia="MS Mincho"/>
          <w:szCs w:val="24"/>
          <w:vertAlign w:val="superscript"/>
          <w:lang w:eastAsia="ja-JP"/>
        </w:rPr>
        <w:footnoteReference w:id="33"/>
      </w:r>
      <w:r w:rsidRPr="009C0341">
        <w:rPr>
          <w:rFonts w:eastAsia="MS Mincho"/>
          <w:szCs w:val="24"/>
          <w:lang w:eastAsia="ja-JP"/>
        </w:rPr>
        <w:t xml:space="preserve"> Recently, the government has also introduced a contact tracing application that will improve early detection and prevention.</w:t>
      </w:r>
      <w:r w:rsidRPr="009C0341">
        <w:rPr>
          <w:rFonts w:eastAsia="MS Mincho"/>
          <w:szCs w:val="24"/>
          <w:vertAlign w:val="superscript"/>
          <w:lang w:eastAsia="ja-JP"/>
        </w:rPr>
        <w:footnoteReference w:id="34"/>
      </w:r>
      <w:r w:rsidRPr="009C0341">
        <w:rPr>
          <w:rFonts w:eastAsia="MS Mincho"/>
          <w:szCs w:val="24"/>
          <w:lang w:eastAsia="ja-JP"/>
        </w:rPr>
        <w:t xml:space="preserve"> Government health spending as a share of GDP vacillated at a relatively low 2.5–2.7% of GDP from 2018 to early 2020 and increased to 3.4.% more recently.</w:t>
      </w:r>
      <w:r w:rsidRPr="009C0341">
        <w:rPr>
          <w:rFonts w:eastAsia="MS Mincho"/>
          <w:szCs w:val="24"/>
          <w:vertAlign w:val="superscript"/>
          <w:lang w:eastAsia="ja-JP"/>
        </w:rPr>
        <w:footnoteReference w:id="35"/>
      </w:r>
      <w:r w:rsidRPr="009C0341">
        <w:rPr>
          <w:rFonts w:eastAsia="MS Mincho"/>
          <w:szCs w:val="24"/>
          <w:lang w:eastAsia="ja-JP"/>
        </w:rPr>
        <w:t xml:space="preserve"> In addition, even though out-of-pocket expenditure for health has declined in recent years owing to the introduction of Universal Health Coverage in 2013, it still accounted for 54.8% of current health expenditure in 2017.</w:t>
      </w:r>
      <w:r w:rsidRPr="009C0341">
        <w:rPr>
          <w:rFonts w:eastAsia="MS Mincho"/>
          <w:szCs w:val="24"/>
          <w:vertAlign w:val="superscript"/>
          <w:lang w:eastAsia="ja-JP"/>
        </w:rPr>
        <w:footnoteReference w:id="36"/>
      </w:r>
      <w:r w:rsidRPr="009C0341">
        <w:rPr>
          <w:rFonts w:eastAsia="MS Mincho"/>
          <w:szCs w:val="24"/>
          <w:lang w:eastAsia="ja-JP"/>
        </w:rPr>
        <w:t xml:space="preserve"> As a consequence, inadequate financing of the health system could exacerbate the poorer population groups’ exposure to COVID-19. In spite of these measures, MOH has already identified gaps in the health system that need to be addressed in order to strengthen health systems for future outbreaks, should a second or third wave of COVID-19 materialize. These include refurbishing of hospital infrastructure as well as procurement of medical supplies and equipment. Government has further committed to covering all diagnostic, laboratory and treatment costs of COVID-19 patients for which sufficient funding is needed. As resources are mobilized for COVID-19 patients, it will also be critical to maintain sufficient financial support to running other essential health services, which explain a need for an increase in budgetary allocations to the health system in the medium term. </w:t>
      </w:r>
    </w:p>
    <w:p w14:paraId="1D66FD16" w14:textId="77777777" w:rsidR="00F65144" w:rsidRDefault="00F65144" w:rsidP="00F65144">
      <w:pPr>
        <w:rPr>
          <w:rFonts w:eastAsia="MS Mincho"/>
          <w:szCs w:val="24"/>
          <w:lang w:val="en-PH" w:eastAsia="ja-JP"/>
        </w:rPr>
      </w:pPr>
    </w:p>
    <w:p w14:paraId="1768E7FD" w14:textId="26EC2C90" w:rsidR="00F65144" w:rsidRPr="00F65144" w:rsidRDefault="00F65144" w:rsidP="00F65144">
      <w:pPr>
        <w:rPr>
          <w:rFonts w:eastAsia="MS Mincho"/>
          <w:szCs w:val="24"/>
          <w:lang w:val="en-PH" w:eastAsia="ja-JP"/>
        </w:rPr>
      </w:pPr>
      <w:r>
        <w:rPr>
          <w:rFonts w:eastAsia="MS Mincho"/>
          <w:szCs w:val="24"/>
          <w:lang w:val="en-PH" w:eastAsia="ja-JP"/>
        </w:rPr>
        <w:t>10.</w:t>
      </w:r>
      <w:r>
        <w:rPr>
          <w:rFonts w:eastAsia="MS Mincho"/>
          <w:szCs w:val="24"/>
          <w:lang w:val="en-PH" w:eastAsia="ja-JP"/>
        </w:rPr>
        <w:tab/>
      </w:r>
      <w:r w:rsidRPr="00F65144">
        <w:rPr>
          <w:rFonts w:eastAsia="MS Mincho"/>
          <w:b/>
          <w:bCs/>
          <w:szCs w:val="24"/>
          <w:lang w:eastAsia="ja-JP"/>
        </w:rPr>
        <w:t xml:space="preserve">Private sector support. </w:t>
      </w:r>
      <w:r w:rsidRPr="00F65144">
        <w:rPr>
          <w:rFonts w:eastAsia="MS Mincho"/>
          <w:szCs w:val="24"/>
          <w:lang w:eastAsia="ja-JP"/>
        </w:rPr>
        <w:t>Government has committed a total of GEL2.11 billion ($671 million) to support the most affected private sector entities, with special focus on small and medium enterprises in the most affected sectors. This support is expected to help contain mass retrenchment and, therefore, alleviate the socio-economic severity of the crisis. It will also enable a faster recovery once strict containment measures are lifted.</w:t>
      </w:r>
    </w:p>
    <w:p w14:paraId="2E98920E" w14:textId="77777777" w:rsidR="00F65144" w:rsidRPr="00F65144" w:rsidRDefault="00F65144" w:rsidP="00F65144">
      <w:pPr>
        <w:rPr>
          <w:rFonts w:eastAsia="MS Mincho"/>
          <w:szCs w:val="24"/>
          <w:lang w:eastAsia="ja-JP"/>
        </w:rPr>
      </w:pPr>
    </w:p>
    <w:p w14:paraId="2E27DEF4" w14:textId="77777777" w:rsidR="00F65144" w:rsidRPr="00F65144" w:rsidRDefault="00F65144" w:rsidP="00F65144">
      <w:pPr>
        <w:numPr>
          <w:ilvl w:val="0"/>
          <w:numId w:val="25"/>
        </w:numPr>
        <w:ind w:left="709" w:hanging="567"/>
        <w:rPr>
          <w:rFonts w:eastAsia="MS Mincho"/>
          <w:szCs w:val="24"/>
          <w:lang w:eastAsia="ja-JP"/>
        </w:rPr>
      </w:pPr>
      <w:r w:rsidRPr="00F65144">
        <w:rPr>
          <w:rFonts w:eastAsia="MS Mincho"/>
          <w:b/>
          <w:bCs/>
          <w:szCs w:val="24"/>
          <w:lang w:eastAsia="ja-JP"/>
        </w:rPr>
        <w:t>Tax credits and exemptions.</w:t>
      </w:r>
      <w:r w:rsidRPr="00F65144">
        <w:rPr>
          <w:rFonts w:eastAsia="MS Mincho"/>
          <w:szCs w:val="24"/>
          <w:lang w:eastAsia="ja-JP"/>
        </w:rPr>
        <w:t xml:space="preserve"> Tax credits and exemptions are being extended to the private sector to reduce the fiscal burden imposed onto businesses during the state of emergency. As part of the government’s general support to the private sector, it has doubled VAT surplus refunds by an additional GEL600 million to businesses across all sectors. Firms in the tourism sector, one of the most affected and which retains a high share of employees at high risk of job loss, will receive additional fiscal benefits such as deferral of income and property taxes until 1 November 2020 and a subsidization of 80% of interest payments. This latter measure targets specifically small and medium-sized enterprises in the sector. The construction sector, one of the most affected, will also benefit from differentiated treatment in the form of insurance against price increases in construction materials. </w:t>
      </w:r>
    </w:p>
    <w:p w14:paraId="4AA11580" w14:textId="77777777" w:rsidR="00F65144" w:rsidRPr="00F65144" w:rsidRDefault="00F65144" w:rsidP="00F65144">
      <w:pPr>
        <w:ind w:left="709"/>
        <w:rPr>
          <w:rFonts w:eastAsia="MS Mincho"/>
          <w:szCs w:val="24"/>
          <w:lang w:eastAsia="ja-JP"/>
        </w:rPr>
      </w:pPr>
    </w:p>
    <w:p w14:paraId="20C2A7B1" w14:textId="07C82E97" w:rsidR="00F65144" w:rsidRPr="00F65144" w:rsidRDefault="00F65144" w:rsidP="00F65144">
      <w:pPr>
        <w:numPr>
          <w:ilvl w:val="0"/>
          <w:numId w:val="25"/>
        </w:numPr>
        <w:ind w:left="709" w:hanging="567"/>
        <w:rPr>
          <w:rFonts w:eastAsia="MS Mincho"/>
          <w:szCs w:val="24"/>
          <w:lang w:eastAsia="ja-JP"/>
        </w:rPr>
      </w:pPr>
      <w:r w:rsidRPr="00F65144">
        <w:rPr>
          <w:rFonts w:eastAsia="MS Mincho"/>
          <w:b/>
          <w:bCs/>
          <w:szCs w:val="24"/>
          <w:lang w:eastAsia="ja-JP"/>
        </w:rPr>
        <w:t xml:space="preserve">Access to finance for SMEs. </w:t>
      </w:r>
      <w:r w:rsidRPr="00F65144">
        <w:rPr>
          <w:rFonts w:eastAsia="MS Mincho"/>
          <w:szCs w:val="24"/>
          <w:lang w:eastAsia="ja-JP"/>
        </w:rPr>
        <w:t xml:space="preserve">Government has committed to facilitating access to concessional finance to SMEs, through provision of additional funds under the Credit Guarantee Scheme (CGS). Under this arrangement, the government will provide guarantees on </w:t>
      </w:r>
      <w:r>
        <w:rPr>
          <w:rFonts w:eastAsia="MS Mincho"/>
          <w:szCs w:val="24"/>
          <w:lang w:eastAsia="ja-JP"/>
        </w:rPr>
        <w:tab/>
      </w:r>
      <w:r w:rsidRPr="00F65144">
        <w:rPr>
          <w:rFonts w:eastAsia="MS Mincho"/>
          <w:szCs w:val="24"/>
          <w:lang w:eastAsia="ja-JP"/>
        </w:rPr>
        <w:t>90% of new loans and 30% of restructured loans by SMEs. Overall, the CGS is expected to guarantee credit portfolios of GEL2 billion for SMEs. SMEs under the “Produce in Georgia” program,</w:t>
      </w:r>
      <w:r w:rsidRPr="00F65144">
        <w:rPr>
          <w:rFonts w:eastAsia="MS Mincho"/>
          <w:szCs w:val="24"/>
          <w:vertAlign w:val="superscript"/>
          <w:lang w:eastAsia="ja-JP"/>
        </w:rPr>
        <w:footnoteReference w:id="37"/>
      </w:r>
      <w:r w:rsidRPr="00F65144">
        <w:rPr>
          <w:rFonts w:eastAsia="MS Mincho"/>
          <w:szCs w:val="24"/>
          <w:lang w:eastAsia="ja-JP"/>
        </w:rPr>
        <w:t xml:space="preserve"> will benefit from improved conditions ranging from an increase in the period of co-financing of loans/leasing from 24 to 36 months, to lowering the minimum threshold for loans/leasing. </w:t>
      </w:r>
    </w:p>
    <w:p w14:paraId="66A8031F" w14:textId="77777777" w:rsidR="00F65144" w:rsidRPr="00F65144" w:rsidRDefault="00F65144" w:rsidP="00F65144">
      <w:pPr>
        <w:rPr>
          <w:rFonts w:eastAsia="SimSun"/>
          <w:szCs w:val="22"/>
        </w:rPr>
      </w:pPr>
    </w:p>
    <w:p w14:paraId="568CA396" w14:textId="77777777" w:rsidR="00F65144" w:rsidRPr="00F65144" w:rsidRDefault="00F65144" w:rsidP="00F65144">
      <w:pPr>
        <w:numPr>
          <w:ilvl w:val="0"/>
          <w:numId w:val="25"/>
        </w:numPr>
        <w:ind w:left="709" w:hanging="567"/>
        <w:rPr>
          <w:rFonts w:eastAsia="MS Mincho"/>
          <w:szCs w:val="24"/>
          <w:lang w:eastAsia="ja-JP"/>
        </w:rPr>
      </w:pPr>
      <w:r w:rsidRPr="00F65144">
        <w:rPr>
          <w:rFonts w:eastAsia="MS Mincho"/>
          <w:b/>
          <w:bCs/>
          <w:szCs w:val="24"/>
          <w:lang w:eastAsia="ja-JP"/>
        </w:rPr>
        <w:t>Special support to the Agriculture sector.</w:t>
      </w:r>
      <w:r w:rsidRPr="00F65144">
        <w:rPr>
          <w:rFonts w:eastAsia="MS Mincho"/>
          <w:szCs w:val="24"/>
          <w:lang w:eastAsia="ja-JP"/>
        </w:rPr>
        <w:t xml:space="preserve"> Despite its relatively low contribution to GDP (7% in 2019), nearly half of all active working age persons in Georgia work in agriculture – 97% of which are self-employed and fall outside existing support systems.</w:t>
      </w:r>
      <w:r w:rsidRPr="00F65144">
        <w:rPr>
          <w:rFonts w:eastAsia="MS Mincho"/>
          <w:szCs w:val="24"/>
          <w:vertAlign w:val="superscript"/>
          <w:lang w:eastAsia="ja-JP"/>
        </w:rPr>
        <w:footnoteReference w:id="38"/>
      </w:r>
      <w:r w:rsidRPr="00F65144">
        <w:rPr>
          <w:rFonts w:eastAsia="MS Mincho"/>
          <w:szCs w:val="24"/>
          <w:lang w:eastAsia="ja-JP"/>
        </w:rPr>
        <w:t xml:space="preserve"> Furthermore, low baseline incomes in the sector suggest that loss of economic activity could have a disproportionately higher impact on the rise of poverty incidence when compared with other sectors. In response to this, government has committed to extending grants for SMEs in the agriculture sector of up to GEL 30,000 and subsidizing interest repayments obtained through the </w:t>
      </w:r>
      <w:proofErr w:type="spellStart"/>
      <w:r w:rsidRPr="00F65144">
        <w:rPr>
          <w:rFonts w:eastAsia="MS Mincho"/>
          <w:szCs w:val="24"/>
          <w:lang w:eastAsia="ja-JP"/>
        </w:rPr>
        <w:t>Agrocredit</w:t>
      </w:r>
      <w:proofErr w:type="spellEnd"/>
      <w:r w:rsidRPr="00F65144">
        <w:rPr>
          <w:rFonts w:eastAsia="MS Mincho"/>
          <w:szCs w:val="24"/>
          <w:lang w:eastAsia="ja-JP"/>
        </w:rPr>
        <w:t xml:space="preserve"> project. This is estimated to benefit 5,000 SMEs in the sector. Government will also support amelioration activities undertaken by SMEs in the agriculture sector, exempting them from ameliorations fees in 2020. Support to SMEs in the agriculture sector is also expected to assist with strengthening of food security in the country, described in more detail in paragraph 13. </w:t>
      </w:r>
    </w:p>
    <w:p w14:paraId="6C6C9DD6" w14:textId="77777777" w:rsidR="00F65144" w:rsidRPr="00F65144" w:rsidRDefault="00F65144" w:rsidP="00F65144">
      <w:pPr>
        <w:rPr>
          <w:rFonts w:eastAsia="SimSun"/>
          <w:szCs w:val="22"/>
        </w:rPr>
      </w:pPr>
    </w:p>
    <w:p w14:paraId="16901F6C" w14:textId="77777777" w:rsidR="00F65144" w:rsidRDefault="00F65144" w:rsidP="00F65144">
      <w:pPr>
        <w:numPr>
          <w:ilvl w:val="0"/>
          <w:numId w:val="25"/>
        </w:numPr>
        <w:ind w:left="709" w:hanging="567"/>
        <w:rPr>
          <w:rFonts w:eastAsia="MS Mincho"/>
          <w:szCs w:val="24"/>
          <w:lang w:eastAsia="ja-JP"/>
        </w:rPr>
      </w:pPr>
      <w:r w:rsidRPr="00F65144">
        <w:rPr>
          <w:rFonts w:eastAsia="MS Mincho"/>
          <w:b/>
          <w:bCs/>
          <w:szCs w:val="24"/>
          <w:lang w:eastAsia="ja-JP"/>
        </w:rPr>
        <w:t>Provision of ample liquidity to all firms.</w:t>
      </w:r>
      <w:r w:rsidRPr="00F65144">
        <w:rPr>
          <w:rFonts w:eastAsia="MS Mincho"/>
          <w:szCs w:val="24"/>
          <w:lang w:eastAsia="ja-JP"/>
        </w:rPr>
        <w:t xml:space="preserve"> In addition to more targeted measures described above, the National Bank of Georgia, the central bank, is implementing countercyclical measures to help maintain financial stability in the banking system and to ensure provision of liquidity to sectors most directly impacted by the crisis, with a special focus on SMEs. Implementation of additional capital requirements that were planned for March 2020 in accordance with Basel III requirements, were postponed and commercial banks are now allowed to use capital conversion, countercyclical, and related buffers. The cumulative amount of countercyclical buffers currently stands at GEL4 billion and this buffer can be gradually released according to demand. The central bank stands ready to ease credit regulations and remove restrictions on lending to increase liquidity to the economy. It has decreased liquidity coverage ratio limits as well as mandatory foreign exchange reserve requirements. Furthermore, criteria for security or pledging of repurchase agreements to support local currency liquidity have been updated. Altogether, these measures are expected to free up additional resources of around GEL1.6 billion (equivalent to $500 millio</w:t>
      </w:r>
      <w:r>
        <w:rPr>
          <w:rFonts w:eastAsia="MS Mincho"/>
          <w:szCs w:val="24"/>
          <w:lang w:eastAsia="ja-JP"/>
        </w:rPr>
        <w:t xml:space="preserve">n). </w:t>
      </w:r>
    </w:p>
    <w:p w14:paraId="76DE1361" w14:textId="77777777" w:rsidR="00F65144" w:rsidRDefault="00F65144" w:rsidP="00F65144">
      <w:pPr>
        <w:rPr>
          <w:rFonts w:eastAsia="MS Mincho"/>
          <w:szCs w:val="24"/>
          <w:lang w:eastAsia="ja-JP"/>
        </w:rPr>
      </w:pPr>
    </w:p>
    <w:p w14:paraId="18F55F68" w14:textId="77777777" w:rsidR="00F65144" w:rsidRDefault="00F65144" w:rsidP="00F65144">
      <w:pPr>
        <w:ind w:left="142" w:hanging="142"/>
        <w:rPr>
          <w:rFonts w:eastAsia="MS Mincho"/>
          <w:szCs w:val="24"/>
          <w:lang w:eastAsia="ja-JP"/>
        </w:rPr>
      </w:pPr>
      <w:r>
        <w:rPr>
          <w:rFonts w:eastAsia="MS Mincho"/>
          <w:szCs w:val="24"/>
          <w:lang w:eastAsia="ja-JP"/>
        </w:rPr>
        <w:t>11.</w:t>
      </w:r>
      <w:r>
        <w:rPr>
          <w:rFonts w:eastAsia="MS Mincho"/>
          <w:szCs w:val="24"/>
          <w:lang w:eastAsia="ja-JP"/>
        </w:rPr>
        <w:tab/>
      </w:r>
      <w:r w:rsidRPr="00F65144">
        <w:rPr>
          <w:rFonts w:eastAsia="MS Mincho"/>
          <w:b/>
          <w:bCs/>
          <w:szCs w:val="24"/>
          <w:lang w:eastAsia="ja-JP"/>
        </w:rPr>
        <w:t>Social Assistance Package.</w:t>
      </w:r>
      <w:r w:rsidRPr="00F65144">
        <w:rPr>
          <w:rFonts w:eastAsia="MS Mincho"/>
          <w:szCs w:val="24"/>
          <w:lang w:eastAsia="ja-JP"/>
        </w:rPr>
        <w:t xml:space="preserve"> The government committed to increase public expenditure</w:t>
      </w:r>
      <w:r>
        <w:rPr>
          <w:rFonts w:eastAsia="MS Mincho"/>
          <w:szCs w:val="24"/>
          <w:lang w:eastAsia="ja-JP"/>
        </w:rPr>
        <w:t xml:space="preserve"> </w:t>
      </w:r>
      <w:r w:rsidRPr="00F65144">
        <w:rPr>
          <w:rFonts w:eastAsia="MS Mincho"/>
          <w:szCs w:val="24"/>
          <w:lang w:eastAsia="ja-JP"/>
        </w:rPr>
        <w:t>to mitigate the economic impact felt by those whose employment is at risk and by the poor and most vulnerable in society, including the elderly and persons living with disabilities.</w:t>
      </w:r>
      <w:r w:rsidRPr="00F65144">
        <w:rPr>
          <w:rFonts w:eastAsia="MS Mincho"/>
          <w:vertAlign w:val="superscript"/>
          <w:lang w:eastAsia="ja-JP"/>
        </w:rPr>
        <w:footnoteReference w:id="39"/>
      </w:r>
      <w:r w:rsidRPr="00F65144">
        <w:rPr>
          <w:rFonts w:eastAsia="MS Mincho"/>
          <w:szCs w:val="24"/>
          <w:lang w:eastAsia="ja-JP"/>
        </w:rPr>
        <w:t xml:space="preserve"> The government will provide exemption from income tax for 6 months to the employers for every retained job. Workers who lost their job or who are on unpaid leave will receive GEL200 per month (equivalent to $63.4) for up to 6 months. Based on the current budget, approximately 350,000 workers will be able to benefit from this assistance for a period of up to six months. Persons active in the informal sector have access to one-time assistance of GEL300 upon providing proof of loss of income. Vulnerable groups will receive additional funds through targeted social assistance and the universal pension to protect them from poverty. Low-income families and families with disabled persons are entitled to additional social assistance of up to GEL600 over a 6 months period, and pensioners aged 70 and older will receive a top-up of GEL30 per month. The mechanisms for implementation are currently being finalized by the </w:t>
      </w:r>
      <w:proofErr w:type="spellStart"/>
      <w:r w:rsidRPr="00F65144">
        <w:rPr>
          <w:rFonts w:eastAsia="MS Mincho"/>
          <w:szCs w:val="24"/>
          <w:lang w:eastAsia="ja-JP"/>
        </w:rPr>
        <w:t>MoILHSA</w:t>
      </w:r>
      <w:proofErr w:type="spellEnd"/>
      <w:r w:rsidRPr="00F65144">
        <w:rPr>
          <w:rFonts w:eastAsia="MS Mincho"/>
          <w:szCs w:val="24"/>
          <w:lang w:eastAsia="ja-JP"/>
        </w:rPr>
        <w:t xml:space="preserve"> and in accordance with eligibility criteria of the Targeted Social Assistance program (TSA) which uses a proxy means-testing procedure to identify households eligible for cash transfers and some in-kind benefits, including health insurance.</w:t>
      </w:r>
    </w:p>
    <w:p w14:paraId="0309DAB3" w14:textId="77777777" w:rsidR="00F65144" w:rsidRDefault="00F65144" w:rsidP="00F65144">
      <w:pPr>
        <w:ind w:left="142" w:hanging="142"/>
        <w:rPr>
          <w:rFonts w:eastAsia="MS Mincho"/>
          <w:b/>
          <w:bCs/>
          <w:szCs w:val="24"/>
          <w:lang w:eastAsia="ja-JP"/>
        </w:rPr>
      </w:pPr>
    </w:p>
    <w:p w14:paraId="1AE83CCB" w14:textId="3F7F7C80" w:rsidR="00F65144" w:rsidRPr="00F65144" w:rsidRDefault="00F65144" w:rsidP="00F65144">
      <w:pPr>
        <w:ind w:left="142" w:hanging="142"/>
        <w:rPr>
          <w:rFonts w:eastAsia="MS Mincho"/>
          <w:szCs w:val="24"/>
          <w:lang w:eastAsia="ja-JP"/>
        </w:rPr>
      </w:pPr>
      <w:r w:rsidRPr="00F65144">
        <w:rPr>
          <w:rFonts w:eastAsia="MS Mincho"/>
          <w:szCs w:val="24"/>
          <w:lang w:eastAsia="ja-JP"/>
        </w:rPr>
        <w:t>12</w:t>
      </w:r>
      <w:r>
        <w:rPr>
          <w:rFonts w:eastAsia="MS Mincho"/>
          <w:b/>
          <w:bCs/>
          <w:szCs w:val="24"/>
          <w:lang w:eastAsia="ja-JP"/>
        </w:rPr>
        <w:t>.</w:t>
      </w:r>
      <w:r>
        <w:rPr>
          <w:rFonts w:eastAsia="MS Mincho"/>
          <w:b/>
          <w:bCs/>
          <w:szCs w:val="24"/>
          <w:lang w:eastAsia="ja-JP"/>
        </w:rPr>
        <w:tab/>
      </w:r>
      <w:r w:rsidRPr="00F65144">
        <w:rPr>
          <w:rFonts w:eastAsia="MS Mincho"/>
          <w:b/>
          <w:bCs/>
          <w:szCs w:val="24"/>
          <w:lang w:eastAsia="ja-JP"/>
        </w:rPr>
        <w:t xml:space="preserve">Ensuring food security. </w:t>
      </w:r>
      <w:r w:rsidRPr="00F65144">
        <w:rPr>
          <w:rFonts w:eastAsia="MS Mincho"/>
          <w:szCs w:val="24"/>
          <w:lang w:eastAsia="ja-JP"/>
        </w:rPr>
        <w:t>Georgia is a net food importer</w:t>
      </w:r>
      <w:r w:rsidRPr="00F65144">
        <w:rPr>
          <w:rFonts w:eastAsia="MS Mincho"/>
          <w:szCs w:val="24"/>
          <w:vertAlign w:val="superscript"/>
          <w:lang w:eastAsia="ja-JP"/>
        </w:rPr>
        <w:footnoteReference w:id="40"/>
      </w:r>
      <w:r w:rsidRPr="00F65144">
        <w:rPr>
          <w:rFonts w:eastAsia="MS Mincho"/>
          <w:szCs w:val="24"/>
          <w:lang w:eastAsia="ja-JP"/>
        </w:rPr>
        <w:t xml:space="preserve"> and highly import-dependent for most</w:t>
      </w:r>
      <w:r>
        <w:rPr>
          <w:rFonts w:eastAsia="MS Mincho"/>
          <w:szCs w:val="24"/>
          <w:lang w:eastAsia="ja-JP"/>
        </w:rPr>
        <w:t xml:space="preserve"> </w:t>
      </w:r>
      <w:r w:rsidRPr="00F65144">
        <w:rPr>
          <w:rFonts w:eastAsia="MS Mincho"/>
          <w:szCs w:val="24"/>
          <w:lang w:eastAsia="ja-JP"/>
        </w:rPr>
        <w:t>food categories.</w:t>
      </w:r>
      <w:r w:rsidRPr="00F65144">
        <w:rPr>
          <w:rFonts w:eastAsia="MS Mincho"/>
          <w:szCs w:val="24"/>
          <w:vertAlign w:val="superscript"/>
          <w:lang w:eastAsia="ja-JP"/>
        </w:rPr>
        <w:footnoteReference w:id="41"/>
      </w:r>
      <w:r w:rsidRPr="00F65144">
        <w:rPr>
          <w:rFonts w:eastAsia="MS Mincho"/>
          <w:szCs w:val="24"/>
          <w:lang w:eastAsia="ja-JP"/>
        </w:rPr>
        <w:t xml:space="preserve"> This puts food security at risk through food export restrictions. Food prices had already risen before the COVID-19 pandemic, reaching 13.4% year on year in March 2020 compared to 6.1% headline inflation, because of exchange rate depreciation.</w:t>
      </w:r>
      <w:r w:rsidRPr="00F65144">
        <w:rPr>
          <w:rFonts w:eastAsia="MS Mincho"/>
          <w:szCs w:val="24"/>
          <w:vertAlign w:val="superscript"/>
          <w:lang w:eastAsia="ja-JP"/>
        </w:rPr>
        <w:footnoteReference w:id="42"/>
      </w:r>
      <w:r w:rsidRPr="00F65144">
        <w:rPr>
          <w:rFonts w:eastAsia="MS Mincho"/>
          <w:szCs w:val="24"/>
          <w:lang w:eastAsia="ja-JP"/>
        </w:rPr>
        <w:t xml:space="preserve"> The average share of food consumption expenditure was 43% in 2018, which underlines the social importance of food prices. The Ministry of Environment Protection and Agriculture of Georgia (MEPA) has adopted a range of measures, in the current situation, to ensure food security</w:t>
      </w:r>
      <w:r w:rsidRPr="00F65144">
        <w:rPr>
          <w:rFonts w:eastAsia="MS Mincho"/>
          <w:b/>
          <w:bCs/>
          <w:szCs w:val="24"/>
          <w:lang w:eastAsia="ja-JP"/>
        </w:rPr>
        <w:t>.</w:t>
      </w:r>
      <w:r w:rsidRPr="00F65144">
        <w:rPr>
          <w:rFonts w:eastAsia="MS Mincho"/>
          <w:szCs w:val="24"/>
          <w:lang w:eastAsia="ja-JP"/>
        </w:rPr>
        <w:t xml:space="preserve"> The government has launched measures to support domestic production of more than GEL100 million including:</w:t>
      </w:r>
      <w:r w:rsidRPr="00F65144">
        <w:rPr>
          <w:rFonts w:eastAsia="MS Mincho"/>
          <w:szCs w:val="24"/>
          <w:vertAlign w:val="superscript"/>
          <w:lang w:eastAsia="ja-JP"/>
        </w:rPr>
        <w:footnoteReference w:id="43"/>
      </w:r>
      <w:r w:rsidRPr="00F65144">
        <w:rPr>
          <w:rFonts w:eastAsia="MS Mincho"/>
          <w:szCs w:val="24"/>
          <w:lang w:eastAsia="ja-JP"/>
        </w:rPr>
        <w:t xml:space="preserve"> (i) ensuring prices for basic foodstuffs for GEL26 million;</w:t>
      </w:r>
      <w:r w:rsidRPr="00F65144">
        <w:rPr>
          <w:rFonts w:eastAsia="MS Mincho"/>
          <w:szCs w:val="24"/>
          <w:vertAlign w:val="superscript"/>
          <w:lang w:eastAsia="ja-JP"/>
        </w:rPr>
        <w:footnoteReference w:id="44"/>
      </w:r>
      <w:r w:rsidRPr="00F65144">
        <w:rPr>
          <w:rFonts w:eastAsia="MS Mincho"/>
          <w:szCs w:val="24"/>
          <w:lang w:eastAsia="ja-JP"/>
        </w:rPr>
        <w:t xml:space="preserve"> (ii) crop loans for GEL50 million;</w:t>
      </w:r>
      <w:r w:rsidRPr="00F65144">
        <w:rPr>
          <w:rFonts w:eastAsia="MS Mincho"/>
          <w:szCs w:val="24"/>
          <w:vertAlign w:val="superscript"/>
          <w:lang w:eastAsia="ja-JP"/>
        </w:rPr>
        <w:footnoteReference w:id="45"/>
      </w:r>
      <w:r w:rsidRPr="00F65144">
        <w:rPr>
          <w:rFonts w:eastAsia="MS Mincho"/>
          <w:szCs w:val="24"/>
          <w:lang w:eastAsia="ja-JP"/>
        </w:rPr>
        <w:t xml:space="preserve"> </w:t>
      </w:r>
      <w:r w:rsidRPr="00F65144">
        <w:rPr>
          <w:rFonts w:eastAsia="MS Mincho"/>
          <w:szCs w:val="24"/>
          <w:lang w:eastAsia="ja-JP"/>
        </w:rPr>
        <w:br/>
        <w:t>(iii) increased maximal government contribution to finance fixed agricultural assets from 8% to 11%; (iv) subsidized interest rates of up to 10% for food industry;</w:t>
      </w:r>
      <w:r w:rsidRPr="00F65144">
        <w:rPr>
          <w:rFonts w:eastAsia="MS Mincho"/>
          <w:szCs w:val="24"/>
          <w:vertAlign w:val="superscript"/>
          <w:lang w:eastAsia="ja-JP"/>
        </w:rPr>
        <w:footnoteReference w:id="46"/>
      </w:r>
      <w:r w:rsidRPr="00F65144">
        <w:rPr>
          <w:rFonts w:eastAsia="MS Mincho"/>
          <w:szCs w:val="24"/>
          <w:lang w:eastAsia="ja-JP"/>
        </w:rPr>
        <w:t xml:space="preserve"> (v) securing collateral of up to 50% for livestock working capital loans; (vi) support smallholder milk production with GEL3 million;</w:t>
      </w:r>
      <w:r w:rsidRPr="00F65144">
        <w:rPr>
          <w:rFonts w:eastAsia="MS Mincho"/>
          <w:szCs w:val="24"/>
          <w:vertAlign w:val="superscript"/>
          <w:lang w:eastAsia="ja-JP"/>
        </w:rPr>
        <w:footnoteReference w:id="47"/>
      </w:r>
      <w:r w:rsidRPr="00F65144">
        <w:rPr>
          <w:rFonts w:eastAsia="MS Mincho"/>
          <w:szCs w:val="24"/>
          <w:lang w:eastAsia="ja-JP"/>
        </w:rPr>
        <w:t xml:space="preserve"> (vii) subsidizing wheat imports with GEL5.2 million; (viii) expansion of crop insurance by GEL9 million; and (ix) renewing the Agricultural Support Program with GEL10 million.</w:t>
      </w:r>
      <w:r w:rsidRPr="00F65144">
        <w:rPr>
          <w:rFonts w:eastAsia="MS Mincho"/>
          <w:szCs w:val="24"/>
          <w:vertAlign w:val="superscript"/>
          <w:lang w:eastAsia="ja-JP"/>
        </w:rPr>
        <w:footnoteReference w:id="48"/>
      </w:r>
      <w:r w:rsidRPr="00F65144">
        <w:rPr>
          <w:rFonts w:eastAsia="MS Mincho"/>
          <w:szCs w:val="24"/>
          <w:lang w:eastAsia="ja-JP"/>
        </w:rPr>
        <w:t xml:space="preserve"> Government will focus on SMEs in the agriculture sector, relying on the registry of existing support schemes to identify beneficiaries. In addition, MEPA, together with the European Union, and the Food and Agriculture Organization of the United Nations (FAO), awarded 50 matching grants for a total amount of GEL2.2 million to support food production and security.</w:t>
      </w:r>
      <w:r w:rsidRPr="00F65144" w:rsidDel="005511A7">
        <w:rPr>
          <w:rFonts w:eastAsia="MS Mincho"/>
          <w:szCs w:val="24"/>
          <w:highlight w:val="yellow"/>
          <w:lang w:eastAsia="ja-JP"/>
        </w:rPr>
        <w:t xml:space="preserve"> </w:t>
      </w:r>
    </w:p>
    <w:p w14:paraId="20FF30BD" w14:textId="78FD7EAD" w:rsidR="00BF3402" w:rsidRDefault="00BF3402" w:rsidP="00CA48A4">
      <w:pPr>
        <w:pStyle w:val="ListParagraph"/>
        <w:ind w:left="0"/>
        <w:contextualSpacing w:val="0"/>
        <w:rPr>
          <w:rFonts w:eastAsia="MS Mincho"/>
          <w:szCs w:val="24"/>
          <w:lang w:eastAsia="ja-JP"/>
        </w:rPr>
      </w:pPr>
    </w:p>
    <w:p w14:paraId="0B4C1CCB" w14:textId="115F7F6B" w:rsidR="00EC11ED" w:rsidRPr="002166AD" w:rsidRDefault="00A169F7" w:rsidP="00613EE1">
      <w:pPr>
        <w:pStyle w:val="ListParagraph"/>
        <w:ind w:left="0" w:firstLine="90"/>
        <w:contextualSpacing w:val="0"/>
        <w:rPr>
          <w:rFonts w:cs="Arial"/>
          <w:b/>
        </w:rPr>
      </w:pPr>
      <w:r w:rsidRPr="00086CC7">
        <w:rPr>
          <w:rFonts w:cs="Arial"/>
          <w:b/>
        </w:rPr>
        <w:t>C.</w:t>
      </w:r>
      <w:r>
        <w:rPr>
          <w:rFonts w:cs="Arial"/>
        </w:rPr>
        <w:t xml:space="preserve"> </w:t>
      </w:r>
      <w:r>
        <w:rPr>
          <w:rFonts w:cs="Arial"/>
        </w:rPr>
        <w:tab/>
      </w:r>
      <w:r w:rsidR="00DE5726">
        <w:rPr>
          <w:rFonts w:cs="Arial"/>
          <w:b/>
        </w:rPr>
        <w:t>ADB’s Program</w:t>
      </w:r>
    </w:p>
    <w:p w14:paraId="2AB74418" w14:textId="77777777" w:rsidR="002166AD" w:rsidRDefault="002166AD" w:rsidP="00A82E29">
      <w:pPr>
        <w:pStyle w:val="ListParagraph"/>
        <w:contextualSpacing w:val="0"/>
        <w:rPr>
          <w:rFonts w:cs="Arial"/>
        </w:rPr>
      </w:pPr>
    </w:p>
    <w:p w14:paraId="52C2F86D" w14:textId="77777777" w:rsidR="00C54F14" w:rsidRDefault="00F65144" w:rsidP="00C54F14">
      <w:pPr>
        <w:pStyle w:val="ListParagraph"/>
        <w:tabs>
          <w:tab w:val="left" w:pos="0"/>
        </w:tabs>
        <w:ind w:left="0"/>
        <w:rPr>
          <w:rFonts w:cs="Arial"/>
        </w:rPr>
      </w:pPr>
      <w:r>
        <w:rPr>
          <w:rFonts w:cs="Arial"/>
        </w:rPr>
        <w:t>13</w:t>
      </w:r>
      <w:r w:rsidR="002166AD">
        <w:rPr>
          <w:rFonts w:cs="Arial"/>
        </w:rPr>
        <w:t xml:space="preserve">. </w:t>
      </w:r>
      <w:r w:rsidR="002166AD">
        <w:rPr>
          <w:rFonts w:cs="Arial"/>
        </w:rPr>
        <w:tab/>
      </w:r>
      <w:r w:rsidRPr="00F65144">
        <w:rPr>
          <w:rFonts w:cs="Arial"/>
        </w:rPr>
        <w:t>The proposed CARES Program will be a critical component of the government’s efforts to mitigate the adverse impact of COVID-19 on the health and welfare of Georgians . The Program is aligned with the following overarching development objective: create the foundations for long-term inclusive economic growth and improve the welfare of the population. The program will have the following impact: countercyclical policy response to the COVID-19 crisis mitigates human and economic cost of the crisis. The program is structured around three reform areas: (i) COVID-19 transmission is contained and health sector response capacity strengthened through increased expenditure on public health measures; (ii) affected private sector entities are assisted through countercyclical fiscal and monetary policy measures;   and (iii) livelihoods of the most vulnerable segments of the population are protected through increased expenditure in social programs.</w:t>
      </w:r>
    </w:p>
    <w:p w14:paraId="3DD00602" w14:textId="77777777" w:rsidR="00C54F14" w:rsidRDefault="00C54F14" w:rsidP="00C54F14">
      <w:pPr>
        <w:pStyle w:val="ListParagraph"/>
        <w:tabs>
          <w:tab w:val="left" w:pos="0"/>
        </w:tabs>
        <w:ind w:left="0"/>
        <w:rPr>
          <w:rFonts w:cs="Arial"/>
        </w:rPr>
      </w:pPr>
    </w:p>
    <w:p w14:paraId="2804AEE4" w14:textId="31E502C7" w:rsidR="001056EA" w:rsidRPr="00C54F14" w:rsidRDefault="00C54F14" w:rsidP="00C54F14">
      <w:pPr>
        <w:pStyle w:val="ListParagraph"/>
        <w:tabs>
          <w:tab w:val="left" w:pos="0"/>
        </w:tabs>
        <w:ind w:left="0"/>
        <w:rPr>
          <w:rFonts w:cs="Arial"/>
        </w:rPr>
      </w:pPr>
      <w:r>
        <w:rPr>
          <w:rFonts w:cs="Arial"/>
        </w:rPr>
        <w:t>14.</w:t>
      </w:r>
      <w:r>
        <w:rPr>
          <w:rFonts w:cs="Arial"/>
        </w:rPr>
        <w:tab/>
      </w:r>
      <w:r w:rsidRPr="00C54F14">
        <w:rPr>
          <w:rFonts w:eastAsiaTheme="minorEastAsia"/>
          <w:b/>
          <w:szCs w:val="24"/>
          <w:lang w:eastAsia="ja-JP"/>
        </w:rPr>
        <w:t>Development financing needs for 2020</w:t>
      </w:r>
      <w:r w:rsidRPr="00C54F14">
        <w:rPr>
          <w:rFonts w:eastAsiaTheme="minorEastAsia"/>
          <w:bCs/>
          <w:szCs w:val="24"/>
          <w:lang w:eastAsia="ja-JP"/>
        </w:rPr>
        <w:t xml:space="preserve">. Overall, according to the latest estimates by MOF and IMF, the fiscal financing gap is expected to reach $1.272 billion in 2020. The proposed CARES program provides for about 8% of gross financing requirements for 2020. The remaining financing gap will be addressed by loans and grants from development partners and domestic borrowing, with government deposits available to weather against downside risks, if necessary. The IMF, World Bank and selected bilateral partners have already committed to assist Georgia in accessing finance from their respective emergency response funds. ADB is also considering a Policy Based Loan focusing on social protection and fiscal management, drawing on previous and ongoing policy dialogue on these reform areas. This support will help finance Georgia’s countercyclical economic response efforts. Given the rise in the yield spreads to US Treasury bonds in international markets, Georgia aims to reduce its reliance on international capital markets to the extent possible. It will also avoid drawing on its international gross reserves, which it has accumulated over recent years and amount to $3.5 billion. </w:t>
      </w:r>
    </w:p>
    <w:p w14:paraId="4E98E974" w14:textId="5B40DEE1" w:rsidR="00081592" w:rsidRDefault="00081592" w:rsidP="00F64F91">
      <w:pPr>
        <w:pStyle w:val="ListParagraph"/>
        <w:tabs>
          <w:tab w:val="left" w:pos="0"/>
        </w:tabs>
        <w:ind w:left="90"/>
        <w:rPr>
          <w:rFonts w:cs="Arial"/>
        </w:rPr>
      </w:pPr>
    </w:p>
    <w:p w14:paraId="74363069" w14:textId="18AB166A" w:rsidR="004C0DE1" w:rsidRDefault="00C54F14" w:rsidP="004C0DE1">
      <w:pPr>
        <w:pStyle w:val="ListParagraph"/>
        <w:ind w:left="0"/>
        <w:contextualSpacing w:val="0"/>
        <w:rPr>
          <w:rFonts w:cs="Arial"/>
        </w:rPr>
      </w:pPr>
      <w:r>
        <w:rPr>
          <w:rFonts w:cs="Arial"/>
        </w:rPr>
        <w:t>15</w:t>
      </w:r>
      <w:r w:rsidR="00886131" w:rsidRPr="00886131">
        <w:rPr>
          <w:rFonts w:cs="Arial"/>
        </w:rPr>
        <w:t xml:space="preserve">. </w:t>
      </w:r>
      <w:r w:rsidR="00886131" w:rsidRPr="00886131">
        <w:rPr>
          <w:rFonts w:cs="Arial"/>
        </w:rPr>
        <w:tab/>
      </w:r>
      <w:r w:rsidR="004C0DE1" w:rsidRPr="004C0DE1">
        <w:rPr>
          <w:rFonts w:cs="Arial"/>
        </w:rPr>
        <w:t xml:space="preserve">Total </w:t>
      </w:r>
      <w:r w:rsidR="004C0DE1">
        <w:rPr>
          <w:rFonts w:cs="Arial"/>
        </w:rPr>
        <w:t>CARES</w:t>
      </w:r>
      <w:r w:rsidR="004C0DE1" w:rsidRPr="004C0DE1">
        <w:rPr>
          <w:rFonts w:cs="Arial"/>
        </w:rPr>
        <w:t xml:space="preserve"> financing of $</w:t>
      </w:r>
      <w:r w:rsidR="00F65144">
        <w:rPr>
          <w:rFonts w:cs="Arial"/>
        </w:rPr>
        <w:t>1</w:t>
      </w:r>
      <w:r w:rsidR="004C0DE1" w:rsidRPr="004C0DE1">
        <w:rPr>
          <w:rFonts w:cs="Arial"/>
        </w:rPr>
        <w:t xml:space="preserve">00 million will be </w:t>
      </w:r>
      <w:r w:rsidR="008419CE">
        <w:rPr>
          <w:rFonts w:cs="Arial"/>
        </w:rPr>
        <w:t xml:space="preserve">financed entirely from ADB’s </w:t>
      </w:r>
      <w:r w:rsidR="004C0DE1" w:rsidRPr="004C0DE1">
        <w:rPr>
          <w:rFonts w:cs="Arial"/>
        </w:rPr>
        <w:t>ordinary capital resources (OCR)</w:t>
      </w:r>
      <w:r w:rsidR="008419CE">
        <w:rPr>
          <w:rFonts w:cs="Arial"/>
        </w:rPr>
        <w:t>.</w:t>
      </w:r>
      <w:r w:rsidR="004C0DE1" w:rsidRPr="004C0DE1">
        <w:rPr>
          <w:rFonts w:cs="Arial"/>
        </w:rPr>
        <w:t xml:space="preserve"> </w:t>
      </w:r>
      <w:r w:rsidR="00E21AA3">
        <w:rPr>
          <w:rFonts w:cs="Arial"/>
        </w:rPr>
        <w:t xml:space="preserve"> This</w:t>
      </w:r>
      <w:r w:rsidR="004C0DE1" w:rsidRPr="004C0DE1">
        <w:rPr>
          <w:rFonts w:cs="Arial"/>
        </w:rPr>
        <w:t xml:space="preserve"> would include pricing equal to LIBOR</w:t>
      </w:r>
      <w:r w:rsidR="00337858">
        <w:rPr>
          <w:rFonts w:cs="Arial"/>
        </w:rPr>
        <w:t xml:space="preserve"> plus </w:t>
      </w:r>
      <w:r w:rsidR="00F02C0A">
        <w:rPr>
          <w:rFonts w:cs="Arial"/>
        </w:rPr>
        <w:t>50</w:t>
      </w:r>
      <w:r w:rsidR="00337858">
        <w:rPr>
          <w:rFonts w:cs="Arial"/>
        </w:rPr>
        <w:t xml:space="preserve"> basis points </w:t>
      </w:r>
      <w:r w:rsidR="004C0DE1" w:rsidRPr="004C0DE1">
        <w:rPr>
          <w:rFonts w:cs="Arial"/>
        </w:rPr>
        <w:t>with a term of 15 years including a grace period of 3 years.</w:t>
      </w:r>
    </w:p>
    <w:p w14:paraId="45324953" w14:textId="3533D31D" w:rsidR="004C0DE1" w:rsidRDefault="004C0DE1" w:rsidP="004C0DE1">
      <w:pPr>
        <w:pStyle w:val="ListParagraph"/>
        <w:ind w:left="0"/>
        <w:contextualSpacing w:val="0"/>
        <w:rPr>
          <w:rFonts w:cs="Arial"/>
        </w:rPr>
      </w:pPr>
    </w:p>
    <w:p w14:paraId="12AFBA90" w14:textId="77777777" w:rsidR="004C0DE1" w:rsidRDefault="004C0DE1" w:rsidP="00613EE1">
      <w:pPr>
        <w:pStyle w:val="ListParagraph"/>
        <w:ind w:left="0"/>
        <w:rPr>
          <w:rFonts w:cs="Arial"/>
        </w:rPr>
      </w:pPr>
    </w:p>
    <w:p w14:paraId="4BE2207B" w14:textId="76A81661" w:rsidR="00E16B8A" w:rsidRPr="00CA2062" w:rsidRDefault="00086CC7" w:rsidP="00FD7C14">
      <w:pPr>
        <w:pStyle w:val="ListParagraph"/>
        <w:numPr>
          <w:ilvl w:val="0"/>
          <w:numId w:val="13"/>
        </w:numPr>
        <w:tabs>
          <w:tab w:val="left" w:pos="900"/>
        </w:tabs>
        <w:autoSpaceDE w:val="0"/>
        <w:autoSpaceDN w:val="0"/>
        <w:ind w:hanging="720"/>
        <w:rPr>
          <w:rFonts w:cs="Arial"/>
          <w:b/>
        </w:rPr>
      </w:pPr>
      <w:r>
        <w:rPr>
          <w:rFonts w:cs="Arial"/>
        </w:rPr>
        <w:tab/>
      </w:r>
      <w:r w:rsidR="004061FC">
        <w:rPr>
          <w:rFonts w:cs="Arial"/>
          <w:b/>
          <w:szCs w:val="22"/>
        </w:rPr>
        <w:t>Implementation arrangements</w:t>
      </w:r>
      <w:r w:rsidR="008D37DB">
        <w:rPr>
          <w:rFonts w:cs="Arial"/>
          <w:b/>
          <w:szCs w:val="22"/>
        </w:rPr>
        <w:t xml:space="preserve"> and gender mainstreaming. </w:t>
      </w:r>
    </w:p>
    <w:p w14:paraId="00702D52" w14:textId="77777777" w:rsidR="00E16B8A" w:rsidRPr="00CA2062" w:rsidRDefault="00E16B8A" w:rsidP="00613EE1">
      <w:pPr>
        <w:pStyle w:val="ListParagraph"/>
        <w:tabs>
          <w:tab w:val="left" w:pos="900"/>
        </w:tabs>
        <w:autoSpaceDE w:val="0"/>
        <w:autoSpaceDN w:val="0"/>
        <w:rPr>
          <w:rFonts w:cs="Arial"/>
          <w:b/>
        </w:rPr>
      </w:pPr>
    </w:p>
    <w:p w14:paraId="41C21FFC" w14:textId="7A4E5AB1" w:rsidR="00EF0E09" w:rsidRPr="00CA2062" w:rsidRDefault="006F7A5A" w:rsidP="00613EE1">
      <w:pPr>
        <w:pStyle w:val="ListParagraph"/>
        <w:tabs>
          <w:tab w:val="left" w:pos="900"/>
        </w:tabs>
        <w:autoSpaceDE w:val="0"/>
        <w:autoSpaceDN w:val="0"/>
        <w:ind w:left="0"/>
        <w:rPr>
          <w:rFonts w:cs="Arial"/>
          <w:bCs/>
        </w:rPr>
      </w:pPr>
      <w:r>
        <w:rPr>
          <w:rFonts w:cs="Arial"/>
          <w:bCs/>
          <w:szCs w:val="22"/>
        </w:rPr>
        <w:t xml:space="preserve">9. </w:t>
      </w:r>
      <w:r>
        <w:rPr>
          <w:rFonts w:cs="Arial"/>
          <w:bCs/>
          <w:szCs w:val="22"/>
        </w:rPr>
        <w:tab/>
      </w:r>
      <w:r w:rsidR="00E16B8A" w:rsidRPr="00613EE1">
        <w:rPr>
          <w:rFonts w:cs="Arial"/>
          <w:bCs/>
          <w:szCs w:val="22"/>
        </w:rPr>
        <w:t xml:space="preserve">The Ministry of Finance (MOF) will be the executing agency for the CPRO. </w:t>
      </w:r>
      <w:r w:rsidR="00BA6623">
        <w:rPr>
          <w:rFonts w:cs="Arial"/>
          <w:bCs/>
          <w:szCs w:val="22"/>
        </w:rPr>
        <w:t>GOG</w:t>
      </w:r>
      <w:r w:rsidR="004061FC" w:rsidRPr="00CA2062">
        <w:rPr>
          <w:rFonts w:cs="Arial"/>
          <w:bCs/>
          <w:szCs w:val="22"/>
        </w:rPr>
        <w:t xml:space="preserve"> through MOF</w:t>
      </w:r>
      <w:r w:rsidR="00E16B8A" w:rsidRPr="00613EE1">
        <w:rPr>
          <w:rFonts w:cs="Arial"/>
          <w:bCs/>
          <w:szCs w:val="22"/>
        </w:rPr>
        <w:t xml:space="preserve"> will monitor budget execution and flow of funds for countercyclical measures. The </w:t>
      </w:r>
      <w:r w:rsidR="00EF0E09">
        <w:rPr>
          <w:rFonts w:cs="Arial"/>
          <w:bCs/>
          <w:szCs w:val="22"/>
        </w:rPr>
        <w:t xml:space="preserve">CARES program </w:t>
      </w:r>
      <w:r w:rsidR="00E16B8A" w:rsidRPr="00613EE1">
        <w:rPr>
          <w:rFonts w:cs="Arial"/>
          <w:bCs/>
          <w:szCs w:val="22"/>
        </w:rPr>
        <w:t xml:space="preserve">will be disbursed in a single tranche in accordance with ADB’s Loan Disbursement Handbook (2017, as amended from time to time). The program implementation period is March 2020 to June 2021. MOF </w:t>
      </w:r>
      <w:r w:rsidR="00BA6623">
        <w:rPr>
          <w:rFonts w:cs="Arial"/>
          <w:bCs/>
          <w:szCs w:val="22"/>
        </w:rPr>
        <w:t>appointed Deputy finance Minister Nikolai Guagua</w:t>
      </w:r>
      <w:r w:rsidR="00E16B8A" w:rsidRPr="00613EE1">
        <w:rPr>
          <w:rFonts w:cs="Arial"/>
          <w:bCs/>
          <w:szCs w:val="22"/>
        </w:rPr>
        <w:t xml:space="preserve"> to liaise with ADB. ADB will also meet the officials from the </w:t>
      </w:r>
      <w:r w:rsidR="00267846">
        <w:rPr>
          <w:rFonts w:cs="Arial"/>
          <w:bCs/>
          <w:szCs w:val="22"/>
        </w:rPr>
        <w:t>IAAC</w:t>
      </w:r>
      <w:r w:rsidR="00E16B8A" w:rsidRPr="00613EE1">
        <w:rPr>
          <w:rFonts w:cs="Arial"/>
          <w:bCs/>
          <w:szCs w:val="22"/>
        </w:rPr>
        <w:t xml:space="preserve"> to get an update on the implementation of the countercyclical development package. </w:t>
      </w:r>
      <w:r w:rsidR="00BA6623">
        <w:rPr>
          <w:rFonts w:cs="Arial"/>
          <w:bCs/>
          <w:szCs w:val="22"/>
        </w:rPr>
        <w:t>GOG</w:t>
      </w:r>
      <w:r w:rsidR="00E16B8A" w:rsidRPr="00613EE1">
        <w:rPr>
          <w:rFonts w:cs="Arial"/>
          <w:bCs/>
          <w:szCs w:val="22"/>
        </w:rPr>
        <w:t xml:space="preserve"> will submit </w:t>
      </w:r>
      <w:r w:rsidR="00BA6623">
        <w:rPr>
          <w:rFonts w:cs="Arial"/>
          <w:bCs/>
          <w:szCs w:val="22"/>
        </w:rPr>
        <w:t>quarterly</w:t>
      </w:r>
      <w:r w:rsidR="00E16B8A" w:rsidRPr="00613EE1">
        <w:rPr>
          <w:rFonts w:cs="Arial"/>
          <w:bCs/>
          <w:szCs w:val="22"/>
        </w:rPr>
        <w:t xml:space="preserve"> reports to ADB</w:t>
      </w:r>
      <w:r w:rsidR="00BA6623">
        <w:rPr>
          <w:rFonts w:cs="Arial"/>
          <w:bCs/>
          <w:szCs w:val="22"/>
        </w:rPr>
        <w:t xml:space="preserve"> on the implementation of the </w:t>
      </w:r>
      <w:proofErr w:type="spellStart"/>
      <w:r w:rsidR="00BA6623">
        <w:rPr>
          <w:rFonts w:cs="Arial"/>
          <w:bCs/>
          <w:szCs w:val="22"/>
        </w:rPr>
        <w:t>Anti Crisis</w:t>
      </w:r>
      <w:proofErr w:type="spellEnd"/>
      <w:r w:rsidR="00BA6623">
        <w:rPr>
          <w:rFonts w:cs="Arial"/>
          <w:bCs/>
          <w:szCs w:val="22"/>
        </w:rPr>
        <w:t xml:space="preserve"> Plan, including disbursements and beneficiaries</w:t>
      </w:r>
      <w:r w:rsidR="00267846">
        <w:rPr>
          <w:rFonts w:cs="Arial"/>
          <w:bCs/>
          <w:szCs w:val="22"/>
        </w:rPr>
        <w:t>, as per the Design and Monitoring Matrix in Appendix 1.</w:t>
      </w:r>
    </w:p>
    <w:p w14:paraId="1328A8FF" w14:textId="77777777" w:rsidR="00267846" w:rsidRDefault="00267846" w:rsidP="00EF0E09">
      <w:pPr>
        <w:pStyle w:val="ListParagraph"/>
        <w:tabs>
          <w:tab w:val="left" w:pos="900"/>
        </w:tabs>
        <w:autoSpaceDE w:val="0"/>
        <w:autoSpaceDN w:val="0"/>
        <w:ind w:left="0"/>
        <w:rPr>
          <w:rFonts w:cs="Arial"/>
          <w:bCs/>
        </w:rPr>
      </w:pPr>
    </w:p>
    <w:p w14:paraId="77EDD646" w14:textId="74E9654E" w:rsidR="008544C1" w:rsidRPr="003A3600" w:rsidRDefault="002C1794" w:rsidP="00613EE1">
      <w:pPr>
        <w:pStyle w:val="ListParagraph"/>
        <w:numPr>
          <w:ilvl w:val="0"/>
          <w:numId w:val="13"/>
        </w:numPr>
        <w:ind w:hanging="1080"/>
        <w:rPr>
          <w:b/>
        </w:rPr>
      </w:pPr>
      <w:r w:rsidRPr="003A3600">
        <w:rPr>
          <w:b/>
        </w:rPr>
        <w:t>Acknowledgements and other matters</w:t>
      </w:r>
    </w:p>
    <w:p w14:paraId="3F4AC458" w14:textId="325B35B7" w:rsidR="00C3325B" w:rsidRDefault="00C3325B" w:rsidP="005079AD">
      <w:pPr>
        <w:rPr>
          <w:rFonts w:cs="Arial"/>
          <w:szCs w:val="22"/>
        </w:rPr>
      </w:pPr>
    </w:p>
    <w:p w14:paraId="471E8C7D" w14:textId="4E65CF06" w:rsidR="008F33BA" w:rsidRDefault="00C9510F" w:rsidP="006B3B8C">
      <w:pPr>
        <w:spacing w:after="240"/>
        <w:ind w:left="-90"/>
        <w:rPr>
          <w:rFonts w:cs="Arial"/>
          <w:szCs w:val="22"/>
        </w:rPr>
      </w:pPr>
      <w:r>
        <w:rPr>
          <w:rFonts w:cs="Arial"/>
          <w:szCs w:val="22"/>
        </w:rPr>
        <w:t>10</w:t>
      </w:r>
      <w:r w:rsidR="007D7A65">
        <w:rPr>
          <w:rFonts w:cs="Arial"/>
          <w:szCs w:val="22"/>
        </w:rPr>
        <w:t xml:space="preserve">. </w:t>
      </w:r>
      <w:r w:rsidR="007D7A65">
        <w:rPr>
          <w:rFonts w:cs="Arial"/>
          <w:szCs w:val="22"/>
        </w:rPr>
        <w:tab/>
      </w:r>
      <w:r w:rsidR="008F33BA" w:rsidRPr="00130CED">
        <w:rPr>
          <w:rFonts w:cs="Arial"/>
          <w:b/>
          <w:szCs w:val="22"/>
        </w:rPr>
        <w:t>Board consideration</w:t>
      </w:r>
      <w:r w:rsidR="008F33BA">
        <w:rPr>
          <w:rFonts w:cs="Arial"/>
          <w:szCs w:val="22"/>
        </w:rPr>
        <w:t xml:space="preserve">. The Board consideration for the proposed </w:t>
      </w:r>
      <w:r w:rsidR="004061FC">
        <w:rPr>
          <w:rFonts w:cs="Arial"/>
          <w:szCs w:val="22"/>
        </w:rPr>
        <w:t xml:space="preserve">program </w:t>
      </w:r>
      <w:r w:rsidR="008F33BA">
        <w:rPr>
          <w:rFonts w:cs="Arial"/>
          <w:szCs w:val="22"/>
        </w:rPr>
        <w:t xml:space="preserve">is expected in the </w:t>
      </w:r>
      <w:r w:rsidR="00CB2B39">
        <w:rPr>
          <w:rFonts w:cs="Arial"/>
          <w:szCs w:val="22"/>
        </w:rPr>
        <w:t>second week of June 2020.</w:t>
      </w:r>
    </w:p>
    <w:p w14:paraId="0320B5D7" w14:textId="3451741A" w:rsidR="006B3B8C" w:rsidRPr="00BB3B95" w:rsidRDefault="009E6C1E" w:rsidP="006B3B8C">
      <w:pPr>
        <w:spacing w:after="240"/>
        <w:ind w:left="-90"/>
        <w:rPr>
          <w:rFonts w:cs="Arial"/>
          <w:szCs w:val="22"/>
        </w:rPr>
      </w:pPr>
      <w:r>
        <w:rPr>
          <w:rFonts w:cs="Arial"/>
          <w:szCs w:val="22"/>
        </w:rPr>
        <w:t>1</w:t>
      </w:r>
      <w:r w:rsidR="00C9510F">
        <w:rPr>
          <w:rFonts w:cs="Arial"/>
          <w:szCs w:val="22"/>
        </w:rPr>
        <w:t>1</w:t>
      </w:r>
      <w:r w:rsidR="008F33BA">
        <w:rPr>
          <w:rFonts w:cs="Arial"/>
          <w:szCs w:val="22"/>
        </w:rPr>
        <w:t xml:space="preserve">. </w:t>
      </w:r>
      <w:r w:rsidR="008F33BA">
        <w:rPr>
          <w:rFonts w:cs="Arial"/>
          <w:szCs w:val="22"/>
        </w:rPr>
        <w:tab/>
      </w:r>
      <w:r w:rsidR="006B3B8C" w:rsidRPr="00613EE1">
        <w:rPr>
          <w:rFonts w:cs="Arial"/>
          <w:b/>
          <w:bCs/>
          <w:szCs w:val="22"/>
        </w:rPr>
        <w:t>Confirmation of the Aide Memoire</w:t>
      </w:r>
      <w:r w:rsidR="006B3B8C" w:rsidRPr="00BB3B95">
        <w:rPr>
          <w:rFonts w:cs="Arial"/>
          <w:i/>
          <w:szCs w:val="22"/>
        </w:rPr>
        <w:t>.</w:t>
      </w:r>
      <w:r w:rsidR="006B3B8C" w:rsidRPr="00BB3B95">
        <w:rPr>
          <w:rFonts w:cs="Arial"/>
          <w:szCs w:val="22"/>
        </w:rPr>
        <w:t xml:space="preserve"> </w:t>
      </w:r>
      <w:r w:rsidR="00F64702">
        <w:rPr>
          <w:rFonts w:cs="Arial"/>
          <w:szCs w:val="22"/>
        </w:rPr>
        <w:t xml:space="preserve">Given the urgency of the proposed program, </w:t>
      </w:r>
      <w:r w:rsidR="00D2619F">
        <w:rPr>
          <w:rFonts w:cs="Arial"/>
          <w:szCs w:val="22"/>
        </w:rPr>
        <w:t>ADB</w:t>
      </w:r>
      <w:r w:rsidR="006B3B8C" w:rsidRPr="00BB3B95">
        <w:rPr>
          <w:rFonts w:cs="Arial"/>
          <w:szCs w:val="22"/>
        </w:rPr>
        <w:t xml:space="preserve"> requested </w:t>
      </w:r>
      <w:r w:rsidR="006B3B8C">
        <w:rPr>
          <w:rFonts w:cs="Arial"/>
          <w:szCs w:val="22"/>
        </w:rPr>
        <w:t>MOF</w:t>
      </w:r>
      <w:r w:rsidR="006B3B8C" w:rsidRPr="00BB3B95">
        <w:rPr>
          <w:rFonts w:cs="Arial"/>
          <w:szCs w:val="22"/>
        </w:rPr>
        <w:t xml:space="preserve"> to confirm this Aide Memoire by </w:t>
      </w:r>
      <w:r w:rsidR="00761A1C">
        <w:rPr>
          <w:rFonts w:cs="Arial"/>
          <w:b/>
          <w:szCs w:val="22"/>
        </w:rPr>
        <w:t>4</w:t>
      </w:r>
      <w:r w:rsidR="00CB2B39">
        <w:rPr>
          <w:rFonts w:cs="Arial"/>
          <w:b/>
          <w:szCs w:val="22"/>
        </w:rPr>
        <w:t xml:space="preserve"> May 2020</w:t>
      </w:r>
      <w:r w:rsidR="006B3B8C">
        <w:rPr>
          <w:rFonts w:cs="Arial"/>
          <w:b/>
          <w:szCs w:val="22"/>
        </w:rPr>
        <w:t>.</w:t>
      </w:r>
    </w:p>
    <w:p w14:paraId="48F95513" w14:textId="142F9CC3" w:rsidR="006B3B8C" w:rsidRPr="00D17694" w:rsidRDefault="008F33BA" w:rsidP="006B3B8C">
      <w:pPr>
        <w:spacing w:after="240"/>
        <w:ind w:left="-90"/>
        <w:jc w:val="left"/>
        <w:rPr>
          <w:rFonts w:cs="Arial"/>
          <w:b/>
          <w:bCs/>
          <w:kern w:val="32"/>
          <w:szCs w:val="22"/>
        </w:rPr>
      </w:pPr>
      <w:r>
        <w:rPr>
          <w:rFonts w:cs="Arial"/>
          <w:szCs w:val="22"/>
        </w:rPr>
        <w:t>1</w:t>
      </w:r>
      <w:r w:rsidR="00C9510F">
        <w:rPr>
          <w:rFonts w:cs="Arial"/>
          <w:szCs w:val="22"/>
        </w:rPr>
        <w:t>2</w:t>
      </w:r>
      <w:r w:rsidR="006B3B8C">
        <w:rPr>
          <w:rFonts w:cs="Arial"/>
          <w:szCs w:val="22"/>
        </w:rPr>
        <w:t xml:space="preserve">. </w:t>
      </w:r>
      <w:r w:rsidR="006B3B8C">
        <w:rPr>
          <w:rFonts w:cs="Arial"/>
          <w:szCs w:val="22"/>
        </w:rPr>
        <w:tab/>
      </w:r>
      <w:r w:rsidR="006B3B8C" w:rsidRPr="00D17694">
        <w:rPr>
          <w:rFonts w:cs="Arial"/>
          <w:szCs w:val="22"/>
        </w:rPr>
        <w:t>The Mission gratefully acknowledges the courtesies extended to it by all concerned.</w:t>
      </w:r>
    </w:p>
    <w:p w14:paraId="70288DD6" w14:textId="095DE42C" w:rsidR="00C3325B" w:rsidRDefault="00C3325B" w:rsidP="005079AD">
      <w:pPr>
        <w:rPr>
          <w:rFonts w:cs="Arial"/>
          <w:szCs w:val="22"/>
        </w:rPr>
      </w:pPr>
    </w:p>
    <w:p w14:paraId="23C9A53C" w14:textId="09D4C066" w:rsidR="00EC07C0" w:rsidRDefault="00EC07C0" w:rsidP="005079AD">
      <w:pPr>
        <w:rPr>
          <w:rFonts w:cs="Arial"/>
          <w:szCs w:val="22"/>
        </w:rPr>
      </w:pPr>
    </w:p>
    <w:p w14:paraId="41E5B51D" w14:textId="77777777" w:rsidR="00EC07C0" w:rsidRDefault="00EC07C0" w:rsidP="005079AD">
      <w:pPr>
        <w:rPr>
          <w:rFonts w:cs="Arial"/>
          <w:szCs w:val="22"/>
        </w:rPr>
      </w:pPr>
    </w:p>
    <w:p w14:paraId="153005AB" w14:textId="6E58D957" w:rsidR="003A3600" w:rsidRDefault="00315D2C" w:rsidP="005079AD">
      <w:pPr>
        <w:rPr>
          <w:rFonts w:cs="Arial"/>
          <w:szCs w:val="22"/>
        </w:rPr>
      </w:pPr>
      <w:r>
        <w:rPr>
          <w:noProof/>
        </w:rPr>
        <w:drawing>
          <wp:inline distT="0" distB="0" distL="0" distR="0" wp14:anchorId="6196C196" wp14:editId="771B6AD9">
            <wp:extent cx="990600" cy="69577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100000"/>
                              </a14:imgEffect>
                              <a14:imgEffect>
                                <a14:brightnessContrast bright="41000"/>
                              </a14:imgEffect>
                            </a14:imgLayer>
                          </a14:imgProps>
                        </a:ext>
                        <a:ext uri="{28A0092B-C50C-407E-A947-70E740481C1C}">
                          <a14:useLocalDpi xmlns:a14="http://schemas.microsoft.com/office/drawing/2010/main" val="0"/>
                        </a:ext>
                      </a:extLst>
                    </a:blip>
                    <a:srcRect l="19873" t="24743" r="13354" b="14432"/>
                    <a:stretch/>
                  </pic:blipFill>
                  <pic:spPr bwMode="auto">
                    <a:xfrm>
                      <a:off x="0" y="0"/>
                      <a:ext cx="1002259" cy="703967"/>
                    </a:xfrm>
                    <a:prstGeom prst="rect">
                      <a:avLst/>
                    </a:prstGeom>
                    <a:noFill/>
                    <a:ln>
                      <a:noFill/>
                    </a:ln>
                    <a:extLst>
                      <a:ext uri="{53640926-AAD7-44D8-BBD7-CCE9431645EC}">
                        <a14:shadowObscured xmlns:a14="http://schemas.microsoft.com/office/drawing/2010/main"/>
                      </a:ext>
                    </a:extLst>
                  </pic:spPr>
                </pic:pic>
              </a:graphicData>
            </a:graphic>
          </wp:inline>
        </w:drawing>
      </w:r>
    </w:p>
    <w:p w14:paraId="7856E3CE" w14:textId="77777777" w:rsidR="003A3600" w:rsidRPr="00BB3B95" w:rsidRDefault="003A3600" w:rsidP="005079AD">
      <w:pPr>
        <w:rPr>
          <w:rFonts w:cs="Arial"/>
          <w:szCs w:val="22"/>
        </w:rPr>
      </w:pPr>
    </w:p>
    <w:p w14:paraId="76FEFE0F" w14:textId="241B087D" w:rsidR="00BB3B95" w:rsidRPr="00761A1C" w:rsidRDefault="00761A1C" w:rsidP="005079AD">
      <w:pPr>
        <w:rPr>
          <w:rFonts w:cs="Arial"/>
          <w:szCs w:val="22"/>
          <w:lang w:val="pt-PT"/>
        </w:rPr>
      </w:pPr>
      <w:r w:rsidRPr="00761A1C">
        <w:rPr>
          <w:rFonts w:cs="Arial"/>
          <w:szCs w:val="22"/>
          <w:lang w:val="pt-PT"/>
        </w:rPr>
        <w:t>Rogerio de Almeida Vieira d</w:t>
      </w:r>
      <w:r>
        <w:rPr>
          <w:rFonts w:cs="Arial"/>
          <w:szCs w:val="22"/>
          <w:lang w:val="pt-PT"/>
        </w:rPr>
        <w:t>e Sa</w:t>
      </w:r>
    </w:p>
    <w:p w14:paraId="2F656EBA" w14:textId="282D9195" w:rsidR="005975A5" w:rsidRDefault="00761A1C" w:rsidP="005079AD">
      <w:pPr>
        <w:rPr>
          <w:rFonts w:cs="Arial"/>
          <w:szCs w:val="22"/>
        </w:rPr>
      </w:pPr>
      <w:r>
        <w:rPr>
          <w:rFonts w:cs="Arial"/>
          <w:szCs w:val="22"/>
        </w:rPr>
        <w:t>YP</w:t>
      </w:r>
      <w:r w:rsidR="005975A5">
        <w:rPr>
          <w:rFonts w:cs="Arial"/>
          <w:szCs w:val="22"/>
        </w:rPr>
        <w:t>/ Mission Leader</w:t>
      </w:r>
    </w:p>
    <w:p w14:paraId="615590FD" w14:textId="77777777" w:rsidR="00BB3B95" w:rsidRDefault="00BB3B95" w:rsidP="005079AD">
      <w:pPr>
        <w:rPr>
          <w:rFonts w:cs="Arial"/>
          <w:szCs w:val="22"/>
        </w:rPr>
      </w:pPr>
      <w:r w:rsidRPr="00BB3B95">
        <w:rPr>
          <w:rFonts w:cs="Arial"/>
          <w:szCs w:val="22"/>
        </w:rPr>
        <w:t>Public Management, Financial Sector and Trade Division</w:t>
      </w:r>
    </w:p>
    <w:p w14:paraId="2AA81553" w14:textId="77777777" w:rsidR="00474202" w:rsidRDefault="005975A5" w:rsidP="005079AD">
      <w:pPr>
        <w:rPr>
          <w:rFonts w:cs="Arial"/>
          <w:szCs w:val="22"/>
        </w:rPr>
      </w:pPr>
      <w:r>
        <w:rPr>
          <w:rFonts w:cs="Arial"/>
          <w:szCs w:val="22"/>
        </w:rPr>
        <w:t>Central and West Asia Department</w:t>
      </w:r>
      <w:r w:rsidR="00474202">
        <w:rPr>
          <w:rFonts w:cs="Arial"/>
          <w:szCs w:val="22"/>
        </w:rPr>
        <w:t xml:space="preserve">; </w:t>
      </w:r>
    </w:p>
    <w:p w14:paraId="0D46DBB6" w14:textId="0CCEE10A" w:rsidR="005079AD" w:rsidRDefault="008D2565" w:rsidP="005079AD">
      <w:pPr>
        <w:rPr>
          <w:rFonts w:cs="Arial"/>
          <w:szCs w:val="22"/>
        </w:rPr>
      </w:pPr>
      <w:r>
        <w:rPr>
          <w:rFonts w:cs="Arial"/>
          <w:szCs w:val="22"/>
        </w:rPr>
        <w:t>2</w:t>
      </w:r>
      <w:r w:rsidR="00761A1C">
        <w:rPr>
          <w:rFonts w:cs="Arial"/>
          <w:szCs w:val="22"/>
        </w:rPr>
        <w:t>0</w:t>
      </w:r>
      <w:r w:rsidR="004C5486">
        <w:rPr>
          <w:rFonts w:cs="Arial"/>
          <w:szCs w:val="22"/>
        </w:rPr>
        <w:t xml:space="preserve"> April </w:t>
      </w:r>
      <w:r w:rsidR="00F64F91">
        <w:rPr>
          <w:rFonts w:cs="Arial"/>
          <w:szCs w:val="22"/>
        </w:rPr>
        <w:t>2020</w:t>
      </w:r>
    </w:p>
    <w:p w14:paraId="4FBBBB65" w14:textId="77777777" w:rsidR="00BB3B95" w:rsidRDefault="00BB3B95" w:rsidP="00BB2C6F">
      <w:pPr>
        <w:tabs>
          <w:tab w:val="left" w:pos="0"/>
        </w:tabs>
        <w:rPr>
          <w:rFonts w:cs="Arial"/>
          <w:b/>
          <w:szCs w:val="22"/>
        </w:rPr>
      </w:pPr>
    </w:p>
    <w:p w14:paraId="57C34890" w14:textId="77777777" w:rsidR="00F532C4" w:rsidRDefault="00F532C4" w:rsidP="00BB2C6F">
      <w:pPr>
        <w:tabs>
          <w:tab w:val="left" w:pos="0"/>
        </w:tabs>
        <w:rPr>
          <w:rFonts w:cs="Arial"/>
          <w:b/>
          <w:szCs w:val="22"/>
        </w:rPr>
      </w:pPr>
    </w:p>
    <w:p w14:paraId="624F8637" w14:textId="77777777" w:rsidR="00F532C4" w:rsidRDefault="00F532C4" w:rsidP="00BB2C6F">
      <w:pPr>
        <w:tabs>
          <w:tab w:val="left" w:pos="0"/>
        </w:tabs>
        <w:rPr>
          <w:rFonts w:cs="Arial"/>
          <w:b/>
          <w:szCs w:val="22"/>
        </w:rPr>
      </w:pPr>
    </w:p>
    <w:p w14:paraId="3FD01751" w14:textId="77777777" w:rsidR="00F532C4" w:rsidRDefault="00F532C4" w:rsidP="00BB2C6F">
      <w:pPr>
        <w:tabs>
          <w:tab w:val="left" w:pos="0"/>
        </w:tabs>
        <w:rPr>
          <w:rFonts w:cs="Arial"/>
          <w:b/>
          <w:szCs w:val="22"/>
        </w:rPr>
      </w:pPr>
    </w:p>
    <w:p w14:paraId="0BAEAA8B" w14:textId="77777777" w:rsidR="00F532C4" w:rsidRDefault="00F532C4" w:rsidP="00BB2C6F">
      <w:pPr>
        <w:tabs>
          <w:tab w:val="left" w:pos="0"/>
        </w:tabs>
        <w:rPr>
          <w:rFonts w:cs="Arial"/>
          <w:b/>
          <w:szCs w:val="22"/>
        </w:rPr>
      </w:pPr>
    </w:p>
    <w:p w14:paraId="14715515" w14:textId="77777777" w:rsidR="00643FC6" w:rsidRDefault="00643FC6" w:rsidP="001338FC">
      <w:pPr>
        <w:tabs>
          <w:tab w:val="left" w:pos="0"/>
        </w:tabs>
        <w:jc w:val="center"/>
        <w:rPr>
          <w:rFonts w:cs="Arial"/>
          <w:b/>
          <w:szCs w:val="22"/>
        </w:rPr>
      </w:pPr>
    </w:p>
    <w:p w14:paraId="6F6EDC56" w14:textId="2E2D9E69" w:rsidR="00643FC6" w:rsidRDefault="00643FC6" w:rsidP="001338FC">
      <w:pPr>
        <w:tabs>
          <w:tab w:val="left" w:pos="0"/>
        </w:tabs>
        <w:jc w:val="center"/>
        <w:rPr>
          <w:rFonts w:cs="Arial"/>
          <w:b/>
          <w:szCs w:val="22"/>
        </w:rPr>
      </w:pPr>
    </w:p>
    <w:p w14:paraId="2722DBD7" w14:textId="7F589BB2" w:rsidR="00D508CF" w:rsidRDefault="00D508CF" w:rsidP="001338FC">
      <w:pPr>
        <w:tabs>
          <w:tab w:val="left" w:pos="0"/>
        </w:tabs>
        <w:jc w:val="center"/>
        <w:rPr>
          <w:rFonts w:cs="Arial"/>
          <w:b/>
          <w:szCs w:val="22"/>
        </w:rPr>
      </w:pPr>
    </w:p>
    <w:p w14:paraId="0559FEA5" w14:textId="688AA088" w:rsidR="00D508CF" w:rsidRDefault="00D508CF" w:rsidP="001338FC">
      <w:pPr>
        <w:tabs>
          <w:tab w:val="left" w:pos="0"/>
        </w:tabs>
        <w:jc w:val="center"/>
        <w:rPr>
          <w:rFonts w:cs="Arial"/>
          <w:b/>
          <w:szCs w:val="22"/>
        </w:rPr>
      </w:pPr>
    </w:p>
    <w:p w14:paraId="293D8223" w14:textId="37B62E70" w:rsidR="00D508CF" w:rsidRDefault="00D508CF" w:rsidP="001338FC">
      <w:pPr>
        <w:tabs>
          <w:tab w:val="left" w:pos="0"/>
        </w:tabs>
        <w:jc w:val="center"/>
        <w:rPr>
          <w:rFonts w:cs="Arial"/>
          <w:b/>
          <w:szCs w:val="22"/>
        </w:rPr>
      </w:pPr>
    </w:p>
    <w:p w14:paraId="63206197" w14:textId="2461EBE2" w:rsidR="00D508CF" w:rsidRDefault="00D508CF" w:rsidP="001338FC">
      <w:pPr>
        <w:tabs>
          <w:tab w:val="left" w:pos="0"/>
        </w:tabs>
        <w:jc w:val="center"/>
        <w:rPr>
          <w:rFonts w:cs="Arial"/>
          <w:b/>
          <w:szCs w:val="22"/>
        </w:rPr>
      </w:pPr>
    </w:p>
    <w:p w14:paraId="5BA3087A" w14:textId="77777777" w:rsidR="00EC07C0" w:rsidRDefault="00EC07C0" w:rsidP="001338FC">
      <w:pPr>
        <w:tabs>
          <w:tab w:val="left" w:pos="0"/>
        </w:tabs>
        <w:jc w:val="center"/>
        <w:rPr>
          <w:rFonts w:cs="Arial"/>
          <w:b/>
          <w:szCs w:val="22"/>
        </w:rPr>
      </w:pPr>
    </w:p>
    <w:p w14:paraId="5A96C6A4" w14:textId="654F56EB" w:rsidR="00D508CF" w:rsidRDefault="00D508CF" w:rsidP="001338FC">
      <w:pPr>
        <w:tabs>
          <w:tab w:val="left" w:pos="0"/>
        </w:tabs>
        <w:jc w:val="center"/>
        <w:rPr>
          <w:rFonts w:cs="Arial"/>
          <w:b/>
          <w:szCs w:val="22"/>
        </w:rPr>
      </w:pPr>
    </w:p>
    <w:p w14:paraId="2FC6714E" w14:textId="6AF58172" w:rsidR="00D508CF" w:rsidRDefault="00D508CF" w:rsidP="001338FC">
      <w:pPr>
        <w:tabs>
          <w:tab w:val="left" w:pos="0"/>
        </w:tabs>
        <w:jc w:val="center"/>
        <w:rPr>
          <w:rFonts w:cs="Arial"/>
          <w:b/>
          <w:szCs w:val="22"/>
        </w:rPr>
      </w:pPr>
    </w:p>
    <w:p w14:paraId="6773D086" w14:textId="611383E9" w:rsidR="00D508CF" w:rsidRDefault="00D508CF" w:rsidP="001338FC">
      <w:pPr>
        <w:tabs>
          <w:tab w:val="left" w:pos="0"/>
        </w:tabs>
        <w:jc w:val="center"/>
        <w:rPr>
          <w:rFonts w:cs="Arial"/>
          <w:b/>
          <w:szCs w:val="22"/>
        </w:rPr>
      </w:pPr>
    </w:p>
    <w:p w14:paraId="44B87CAD" w14:textId="7493DC6D" w:rsidR="00D508CF" w:rsidRDefault="00D508CF" w:rsidP="001338FC">
      <w:pPr>
        <w:tabs>
          <w:tab w:val="left" w:pos="0"/>
        </w:tabs>
        <w:jc w:val="center"/>
        <w:rPr>
          <w:rFonts w:cs="Arial"/>
          <w:b/>
          <w:szCs w:val="22"/>
        </w:rPr>
      </w:pPr>
    </w:p>
    <w:p w14:paraId="677C2ACB" w14:textId="1F8000AF" w:rsidR="00D508CF" w:rsidRDefault="00D508CF" w:rsidP="001338FC">
      <w:pPr>
        <w:tabs>
          <w:tab w:val="left" w:pos="0"/>
        </w:tabs>
        <w:jc w:val="center"/>
        <w:rPr>
          <w:rFonts w:cs="Arial"/>
          <w:b/>
          <w:szCs w:val="22"/>
        </w:rPr>
      </w:pPr>
    </w:p>
    <w:p w14:paraId="2D7A9366" w14:textId="52757E5B" w:rsidR="00D508CF" w:rsidRDefault="00D508CF" w:rsidP="001338FC">
      <w:pPr>
        <w:tabs>
          <w:tab w:val="left" w:pos="0"/>
        </w:tabs>
        <w:jc w:val="center"/>
        <w:rPr>
          <w:rFonts w:cs="Arial"/>
          <w:b/>
          <w:szCs w:val="22"/>
        </w:rPr>
      </w:pPr>
    </w:p>
    <w:p w14:paraId="007D3BC9" w14:textId="5F6B2F83" w:rsidR="00D508CF" w:rsidRDefault="00D508CF" w:rsidP="001338FC">
      <w:pPr>
        <w:tabs>
          <w:tab w:val="left" w:pos="0"/>
        </w:tabs>
        <w:jc w:val="center"/>
        <w:rPr>
          <w:rFonts w:cs="Arial"/>
          <w:b/>
          <w:szCs w:val="22"/>
        </w:rPr>
      </w:pPr>
    </w:p>
    <w:p w14:paraId="2E0A95D9" w14:textId="6723824B" w:rsidR="00D508CF" w:rsidRDefault="00D508CF" w:rsidP="001338FC">
      <w:pPr>
        <w:tabs>
          <w:tab w:val="left" w:pos="0"/>
        </w:tabs>
        <w:jc w:val="center"/>
        <w:rPr>
          <w:rFonts w:cs="Arial"/>
          <w:b/>
          <w:szCs w:val="22"/>
        </w:rPr>
      </w:pPr>
    </w:p>
    <w:p w14:paraId="584A56A1" w14:textId="36EA4118" w:rsidR="00D508CF" w:rsidRDefault="00D508CF" w:rsidP="001338FC">
      <w:pPr>
        <w:tabs>
          <w:tab w:val="left" w:pos="0"/>
        </w:tabs>
        <w:jc w:val="center"/>
        <w:rPr>
          <w:rFonts w:cs="Arial"/>
          <w:b/>
          <w:szCs w:val="22"/>
        </w:rPr>
      </w:pPr>
    </w:p>
    <w:p w14:paraId="53D0110E" w14:textId="77777777" w:rsidR="00D508CF" w:rsidRDefault="00D508CF" w:rsidP="001338FC">
      <w:pPr>
        <w:tabs>
          <w:tab w:val="left" w:pos="0"/>
        </w:tabs>
        <w:jc w:val="center"/>
        <w:rPr>
          <w:rFonts w:cs="Arial"/>
          <w:b/>
          <w:szCs w:val="22"/>
        </w:rPr>
      </w:pPr>
    </w:p>
    <w:p w14:paraId="46325436" w14:textId="77777777" w:rsidR="00643FC6" w:rsidRDefault="00643FC6" w:rsidP="001338FC">
      <w:pPr>
        <w:tabs>
          <w:tab w:val="left" w:pos="0"/>
        </w:tabs>
        <w:jc w:val="center"/>
        <w:rPr>
          <w:rFonts w:cs="Arial"/>
          <w:b/>
          <w:szCs w:val="22"/>
        </w:rPr>
      </w:pPr>
    </w:p>
    <w:p w14:paraId="6873EB95" w14:textId="422F41A7" w:rsidR="00F532C4" w:rsidRDefault="00F532C4" w:rsidP="001338FC">
      <w:pPr>
        <w:tabs>
          <w:tab w:val="left" w:pos="0"/>
        </w:tabs>
        <w:jc w:val="center"/>
        <w:rPr>
          <w:rFonts w:cs="Arial"/>
          <w:b/>
          <w:szCs w:val="22"/>
        </w:rPr>
      </w:pPr>
      <w:r>
        <w:rPr>
          <w:rFonts w:cs="Arial"/>
          <w:b/>
          <w:szCs w:val="22"/>
        </w:rPr>
        <w:t xml:space="preserve">List </w:t>
      </w:r>
      <w:r w:rsidR="001338FC">
        <w:rPr>
          <w:rFonts w:cs="Arial"/>
          <w:b/>
          <w:szCs w:val="22"/>
        </w:rPr>
        <w:t>of Key Officials Met</w:t>
      </w:r>
    </w:p>
    <w:p w14:paraId="1CC7F0A8" w14:textId="77777777" w:rsidR="00F532C4" w:rsidRDefault="00F532C4" w:rsidP="00BB2C6F">
      <w:pPr>
        <w:tabs>
          <w:tab w:val="left" w:pos="0"/>
        </w:tabs>
        <w:rPr>
          <w:rFonts w:cs="Arial"/>
          <w:b/>
          <w:szCs w:val="22"/>
        </w:rPr>
      </w:pPr>
    </w:p>
    <w:p w14:paraId="7AC9F231" w14:textId="77777777" w:rsidR="004137B4" w:rsidRDefault="004137B4" w:rsidP="004137B4">
      <w:pPr>
        <w:tabs>
          <w:tab w:val="left" w:pos="0"/>
        </w:tabs>
        <w:rPr>
          <w:rFonts w:cs="Arial"/>
          <w:szCs w:val="22"/>
        </w:rPr>
      </w:pPr>
    </w:p>
    <w:p w14:paraId="305D30C5" w14:textId="77777777" w:rsidR="004137B4" w:rsidRPr="00D5106F" w:rsidRDefault="004137B4" w:rsidP="004137B4">
      <w:pPr>
        <w:tabs>
          <w:tab w:val="left" w:pos="0"/>
        </w:tabs>
        <w:rPr>
          <w:rFonts w:cs="Arial"/>
          <w:b/>
          <w:szCs w:val="22"/>
        </w:rPr>
      </w:pPr>
      <w:r w:rsidRPr="000F0485">
        <w:rPr>
          <w:rFonts w:cs="Arial"/>
          <w:b/>
          <w:szCs w:val="22"/>
        </w:rPr>
        <w:t>Ministry of Finance</w:t>
      </w:r>
    </w:p>
    <w:p w14:paraId="0224CFDC" w14:textId="77777777" w:rsidR="004137B4" w:rsidRPr="000F0485" w:rsidRDefault="004137B4" w:rsidP="004137B4">
      <w:pPr>
        <w:tabs>
          <w:tab w:val="left" w:pos="0"/>
        </w:tabs>
        <w:rPr>
          <w:rFonts w:cs="Arial"/>
          <w:b/>
          <w:szCs w:val="22"/>
        </w:rPr>
      </w:pPr>
    </w:p>
    <w:p w14:paraId="3FB84F18" w14:textId="17E9F87C" w:rsidR="004C1CFA" w:rsidRDefault="004C1CFA">
      <w:pPr>
        <w:tabs>
          <w:tab w:val="left" w:pos="0"/>
        </w:tabs>
        <w:spacing w:line="360" w:lineRule="auto"/>
        <w:rPr>
          <w:rFonts w:cs="Arial"/>
          <w:szCs w:val="22"/>
        </w:rPr>
      </w:pPr>
      <w:r>
        <w:rPr>
          <w:rFonts w:cs="Arial"/>
          <w:szCs w:val="22"/>
        </w:rPr>
        <w:t xml:space="preserve">Mr. </w:t>
      </w:r>
      <w:r w:rsidR="00D508CF">
        <w:rPr>
          <w:rFonts w:cs="Arial"/>
          <w:szCs w:val="22"/>
        </w:rPr>
        <w:t>Nikoloz Guagua</w:t>
      </w:r>
      <w:r>
        <w:rPr>
          <w:rFonts w:cs="Arial"/>
          <w:szCs w:val="22"/>
        </w:rPr>
        <w:t xml:space="preserve">, </w:t>
      </w:r>
      <w:r w:rsidR="00D508CF">
        <w:rPr>
          <w:rFonts w:cs="Arial"/>
          <w:szCs w:val="22"/>
        </w:rPr>
        <w:t>Deputy Minister</w:t>
      </w:r>
    </w:p>
    <w:p w14:paraId="5946D9AD" w14:textId="28446093" w:rsidR="004137B4" w:rsidRPr="005A6FAD" w:rsidRDefault="004137B4" w:rsidP="005A6FAD">
      <w:pPr>
        <w:tabs>
          <w:tab w:val="left" w:pos="0"/>
        </w:tabs>
        <w:spacing w:line="360" w:lineRule="auto"/>
        <w:rPr>
          <w:rFonts w:cs="Arial"/>
          <w:szCs w:val="22"/>
        </w:rPr>
      </w:pPr>
      <w:r w:rsidRPr="004C1CFA">
        <w:rPr>
          <w:rFonts w:cs="Arial"/>
          <w:szCs w:val="22"/>
        </w:rPr>
        <w:t xml:space="preserve">Mr. </w:t>
      </w:r>
      <w:r w:rsidR="00D508CF">
        <w:rPr>
          <w:rFonts w:cs="Arial"/>
          <w:szCs w:val="22"/>
        </w:rPr>
        <w:t>Ioseb Skhirtladze</w:t>
      </w:r>
      <w:r w:rsidRPr="006C7FF3">
        <w:rPr>
          <w:rFonts w:cs="Arial"/>
          <w:szCs w:val="22"/>
        </w:rPr>
        <w:t xml:space="preserve">, </w:t>
      </w:r>
      <w:r w:rsidR="000805C9" w:rsidRPr="000805C9">
        <w:rPr>
          <w:rFonts w:cs="Arial"/>
          <w:bCs/>
          <w:szCs w:val="22"/>
        </w:rPr>
        <w:t>Head of Public Debt Management Department</w:t>
      </w:r>
    </w:p>
    <w:p w14:paraId="078F137F" w14:textId="02AAC634" w:rsidR="004137B4" w:rsidRPr="004C1CFA" w:rsidRDefault="004137B4" w:rsidP="005A6FAD">
      <w:pPr>
        <w:tabs>
          <w:tab w:val="left" w:pos="0"/>
        </w:tabs>
        <w:spacing w:line="360" w:lineRule="auto"/>
        <w:rPr>
          <w:rFonts w:cs="Arial"/>
          <w:bCs/>
          <w:szCs w:val="22"/>
        </w:rPr>
      </w:pPr>
      <w:r w:rsidRPr="005A6FAD">
        <w:rPr>
          <w:rFonts w:cs="Arial"/>
          <w:bCs/>
          <w:szCs w:val="22"/>
        </w:rPr>
        <w:t>Mr</w:t>
      </w:r>
      <w:r w:rsidR="00943305">
        <w:rPr>
          <w:rFonts w:cs="Arial"/>
          <w:bCs/>
          <w:szCs w:val="22"/>
        </w:rPr>
        <w:t>.</w:t>
      </w:r>
      <w:r w:rsidRPr="005A6FAD">
        <w:rPr>
          <w:rFonts w:cs="Arial"/>
          <w:bCs/>
          <w:szCs w:val="22"/>
        </w:rPr>
        <w:t xml:space="preserve"> </w:t>
      </w:r>
      <w:r w:rsidR="00D508CF">
        <w:rPr>
          <w:rFonts w:cs="Arial"/>
          <w:bCs/>
          <w:szCs w:val="22"/>
        </w:rPr>
        <w:t>Mirza Gelashvili</w:t>
      </w:r>
      <w:r w:rsidRPr="005A6FAD">
        <w:rPr>
          <w:rFonts w:cs="Arial"/>
          <w:bCs/>
          <w:szCs w:val="22"/>
        </w:rPr>
        <w:t xml:space="preserve">, </w:t>
      </w:r>
      <w:r w:rsidR="000805C9" w:rsidRPr="000805C9">
        <w:rPr>
          <w:rFonts w:cs="Arial"/>
          <w:bCs/>
          <w:szCs w:val="22"/>
        </w:rPr>
        <w:t>Head of Macroeconomic Analysis and Fiscal Policy Planning Department</w:t>
      </w:r>
    </w:p>
    <w:p w14:paraId="57B5A627" w14:textId="46BC4FBA" w:rsidR="000F0485" w:rsidRPr="000F0485" w:rsidRDefault="000F0485" w:rsidP="005A6FAD">
      <w:pPr>
        <w:tabs>
          <w:tab w:val="left" w:pos="0"/>
        </w:tabs>
        <w:spacing w:line="360" w:lineRule="auto"/>
        <w:rPr>
          <w:rFonts w:cs="Arial"/>
          <w:b/>
          <w:szCs w:val="22"/>
        </w:rPr>
      </w:pPr>
      <w:r w:rsidRPr="000F0485">
        <w:rPr>
          <w:rFonts w:cs="Arial"/>
          <w:bCs/>
          <w:szCs w:val="22"/>
        </w:rPr>
        <w:t xml:space="preserve">Mr. </w:t>
      </w:r>
      <w:r w:rsidR="00E31501">
        <w:rPr>
          <w:rFonts w:cs="Arial"/>
          <w:bCs/>
          <w:szCs w:val="22"/>
        </w:rPr>
        <w:t>Irakli Katcharava</w:t>
      </w:r>
      <w:r w:rsidRPr="00AD1351">
        <w:rPr>
          <w:rFonts w:cs="Arial"/>
          <w:bCs/>
          <w:szCs w:val="22"/>
        </w:rPr>
        <w:t xml:space="preserve">, </w:t>
      </w:r>
      <w:r w:rsidR="000805C9" w:rsidRPr="000805C9">
        <w:rPr>
          <w:rFonts w:cs="Arial"/>
          <w:bCs/>
          <w:szCs w:val="22"/>
        </w:rPr>
        <w:t>Deputy Head of Public Debt Management Department</w:t>
      </w:r>
    </w:p>
    <w:p w14:paraId="03154625" w14:textId="77777777" w:rsidR="000805C9" w:rsidRDefault="000805C9" w:rsidP="00AD1351">
      <w:pPr>
        <w:tabs>
          <w:tab w:val="left" w:pos="0"/>
        </w:tabs>
        <w:spacing w:line="360" w:lineRule="auto"/>
        <w:rPr>
          <w:rFonts w:cs="Arial"/>
          <w:b/>
          <w:szCs w:val="22"/>
        </w:rPr>
      </w:pPr>
    </w:p>
    <w:p w14:paraId="0C9C520A" w14:textId="414B5C00" w:rsidR="00E35811" w:rsidRDefault="00E31501" w:rsidP="00AD1351">
      <w:pPr>
        <w:tabs>
          <w:tab w:val="left" w:pos="0"/>
        </w:tabs>
        <w:spacing w:line="360" w:lineRule="auto"/>
        <w:rPr>
          <w:rFonts w:cs="Arial"/>
          <w:b/>
          <w:szCs w:val="22"/>
        </w:rPr>
      </w:pPr>
      <w:r>
        <w:rPr>
          <w:rFonts w:cs="Arial"/>
          <w:b/>
          <w:szCs w:val="22"/>
        </w:rPr>
        <w:t>M</w:t>
      </w:r>
      <w:r w:rsidR="00E35811">
        <w:rPr>
          <w:rFonts w:cs="Arial"/>
          <w:b/>
          <w:szCs w:val="22"/>
        </w:rPr>
        <w:t xml:space="preserve">inistry of </w:t>
      </w:r>
      <w:r>
        <w:rPr>
          <w:rFonts w:cs="Arial"/>
          <w:b/>
          <w:szCs w:val="22"/>
        </w:rPr>
        <w:t>I</w:t>
      </w:r>
      <w:r w:rsidR="00E35811">
        <w:rPr>
          <w:rFonts w:cs="Arial"/>
          <w:b/>
          <w:szCs w:val="22"/>
        </w:rPr>
        <w:t xml:space="preserve">nternally Displaced Persons from the Occupied Territories, </w:t>
      </w:r>
      <w:r>
        <w:rPr>
          <w:rFonts w:cs="Arial"/>
          <w:b/>
          <w:szCs w:val="22"/>
        </w:rPr>
        <w:t>L</w:t>
      </w:r>
      <w:r w:rsidR="00E35811">
        <w:rPr>
          <w:rFonts w:cs="Arial"/>
          <w:b/>
          <w:szCs w:val="22"/>
        </w:rPr>
        <w:t xml:space="preserve">abor, </w:t>
      </w:r>
      <w:r>
        <w:rPr>
          <w:rFonts w:cs="Arial"/>
          <w:b/>
          <w:szCs w:val="22"/>
        </w:rPr>
        <w:t>H</w:t>
      </w:r>
      <w:r w:rsidR="00E35811">
        <w:rPr>
          <w:rFonts w:cs="Arial"/>
          <w:b/>
          <w:szCs w:val="22"/>
        </w:rPr>
        <w:t xml:space="preserve">ealth and </w:t>
      </w:r>
      <w:r>
        <w:rPr>
          <w:rFonts w:cs="Arial"/>
          <w:b/>
          <w:szCs w:val="22"/>
        </w:rPr>
        <w:t>S</w:t>
      </w:r>
      <w:r w:rsidR="00E35811">
        <w:rPr>
          <w:rFonts w:cs="Arial"/>
          <w:b/>
          <w:szCs w:val="22"/>
        </w:rPr>
        <w:t xml:space="preserve">ocial </w:t>
      </w:r>
      <w:r>
        <w:rPr>
          <w:rFonts w:cs="Arial"/>
          <w:b/>
          <w:szCs w:val="22"/>
        </w:rPr>
        <w:t>A</w:t>
      </w:r>
      <w:r w:rsidR="00E35811">
        <w:rPr>
          <w:rFonts w:cs="Arial"/>
          <w:b/>
          <w:szCs w:val="22"/>
        </w:rPr>
        <w:t>ffairs</w:t>
      </w:r>
    </w:p>
    <w:p w14:paraId="6EC875DB" w14:textId="63C19F36" w:rsidR="00F111D8" w:rsidRDefault="000805C9" w:rsidP="005A6FAD">
      <w:pPr>
        <w:tabs>
          <w:tab w:val="left" w:pos="0"/>
        </w:tabs>
        <w:spacing w:line="360" w:lineRule="auto"/>
        <w:rPr>
          <w:rFonts w:cs="Arial"/>
          <w:szCs w:val="22"/>
        </w:rPr>
      </w:pPr>
      <w:r>
        <w:rPr>
          <w:rFonts w:cs="Arial"/>
          <w:szCs w:val="22"/>
        </w:rPr>
        <w:t>Tamar Gabunia, First Deputy Minister</w:t>
      </w:r>
    </w:p>
    <w:p w14:paraId="76FC5ABD" w14:textId="77777777" w:rsidR="000805C9" w:rsidRDefault="000805C9" w:rsidP="005A6FAD">
      <w:pPr>
        <w:tabs>
          <w:tab w:val="left" w:pos="0"/>
        </w:tabs>
        <w:spacing w:line="360" w:lineRule="auto"/>
        <w:rPr>
          <w:rFonts w:cs="Arial"/>
          <w:b/>
          <w:bCs/>
          <w:szCs w:val="22"/>
        </w:rPr>
      </w:pPr>
    </w:p>
    <w:p w14:paraId="40449C0E" w14:textId="1605C8FD" w:rsidR="00E35811" w:rsidRPr="00E35811" w:rsidRDefault="00E35811" w:rsidP="005A6FAD">
      <w:pPr>
        <w:tabs>
          <w:tab w:val="left" w:pos="0"/>
        </w:tabs>
        <w:spacing w:line="360" w:lineRule="auto"/>
        <w:rPr>
          <w:rFonts w:cs="Arial"/>
          <w:b/>
          <w:bCs/>
          <w:szCs w:val="22"/>
        </w:rPr>
      </w:pPr>
      <w:proofErr w:type="spellStart"/>
      <w:r w:rsidRPr="00E35811">
        <w:rPr>
          <w:rFonts w:cs="Arial"/>
          <w:b/>
          <w:bCs/>
          <w:szCs w:val="22"/>
        </w:rPr>
        <w:t>Agence</w:t>
      </w:r>
      <w:proofErr w:type="spellEnd"/>
      <w:r w:rsidRPr="00E35811">
        <w:rPr>
          <w:rFonts w:cs="Arial"/>
          <w:b/>
          <w:bCs/>
          <w:szCs w:val="22"/>
        </w:rPr>
        <w:t xml:space="preserve"> </w:t>
      </w:r>
      <w:proofErr w:type="spellStart"/>
      <w:r w:rsidRPr="00E35811">
        <w:rPr>
          <w:rFonts w:cs="Arial"/>
          <w:b/>
          <w:bCs/>
          <w:szCs w:val="22"/>
        </w:rPr>
        <w:t>Franç</w:t>
      </w:r>
      <w:r>
        <w:rPr>
          <w:rFonts w:cs="Arial"/>
          <w:b/>
          <w:bCs/>
          <w:szCs w:val="22"/>
        </w:rPr>
        <w:t>a</w:t>
      </w:r>
      <w:r w:rsidRPr="00E35811">
        <w:rPr>
          <w:rFonts w:cs="Arial"/>
          <w:b/>
          <w:bCs/>
          <w:szCs w:val="22"/>
        </w:rPr>
        <w:t>ise</w:t>
      </w:r>
      <w:proofErr w:type="spellEnd"/>
      <w:r w:rsidRPr="00E35811">
        <w:rPr>
          <w:rFonts w:cs="Arial"/>
          <w:b/>
          <w:bCs/>
          <w:szCs w:val="22"/>
        </w:rPr>
        <w:t xml:space="preserve"> de </w:t>
      </w:r>
      <w:proofErr w:type="spellStart"/>
      <w:r w:rsidRPr="00E35811">
        <w:rPr>
          <w:rFonts w:cs="Arial"/>
          <w:b/>
          <w:bCs/>
          <w:szCs w:val="22"/>
        </w:rPr>
        <w:t>Developpement</w:t>
      </w:r>
      <w:proofErr w:type="spellEnd"/>
    </w:p>
    <w:p w14:paraId="60A18CED" w14:textId="77777777" w:rsidR="000805C9" w:rsidRDefault="000805C9" w:rsidP="000805C9">
      <w:pPr>
        <w:tabs>
          <w:tab w:val="left" w:pos="0"/>
        </w:tabs>
        <w:spacing w:line="360" w:lineRule="auto"/>
        <w:rPr>
          <w:rFonts w:cs="Arial"/>
          <w:szCs w:val="22"/>
        </w:rPr>
      </w:pPr>
      <w:proofErr w:type="spellStart"/>
      <w:r w:rsidRPr="000805C9">
        <w:rPr>
          <w:rFonts w:cs="Arial"/>
          <w:szCs w:val="22"/>
        </w:rPr>
        <w:t>Gaelle</w:t>
      </w:r>
      <w:proofErr w:type="spellEnd"/>
      <w:r w:rsidRPr="000805C9">
        <w:rPr>
          <w:rFonts w:cs="Arial"/>
          <w:szCs w:val="22"/>
        </w:rPr>
        <w:t xml:space="preserve"> </w:t>
      </w:r>
      <w:proofErr w:type="spellStart"/>
      <w:r w:rsidRPr="000805C9">
        <w:rPr>
          <w:rFonts w:cs="Arial"/>
          <w:szCs w:val="22"/>
        </w:rPr>
        <w:t>Assayag</w:t>
      </w:r>
      <w:proofErr w:type="spellEnd"/>
      <w:r>
        <w:rPr>
          <w:rFonts w:cs="Arial"/>
          <w:szCs w:val="22"/>
        </w:rPr>
        <w:t xml:space="preserve">, </w:t>
      </w:r>
      <w:r w:rsidRPr="000805C9">
        <w:rPr>
          <w:rFonts w:cs="Arial"/>
          <w:szCs w:val="22"/>
        </w:rPr>
        <w:t>Director, Regional Office for the South Caucasus</w:t>
      </w:r>
    </w:p>
    <w:p w14:paraId="2EFD8017" w14:textId="77777777" w:rsidR="000805C9" w:rsidRPr="000805C9" w:rsidRDefault="000805C9" w:rsidP="000805C9">
      <w:pPr>
        <w:tabs>
          <w:tab w:val="left" w:pos="0"/>
        </w:tabs>
        <w:spacing w:line="360" w:lineRule="auto"/>
        <w:rPr>
          <w:rFonts w:cs="Arial"/>
          <w:szCs w:val="22"/>
        </w:rPr>
      </w:pPr>
    </w:p>
    <w:p w14:paraId="097080DB" w14:textId="594B845C" w:rsidR="004137B4" w:rsidRDefault="00084C48" w:rsidP="005A6FAD">
      <w:pPr>
        <w:tabs>
          <w:tab w:val="left" w:pos="0"/>
        </w:tabs>
        <w:spacing w:line="360" w:lineRule="auto"/>
        <w:rPr>
          <w:rFonts w:cs="Arial"/>
          <w:color w:val="000000"/>
        </w:rPr>
      </w:pPr>
      <w:r w:rsidRPr="00AD1351">
        <w:rPr>
          <w:rFonts w:cs="Arial"/>
          <w:b/>
          <w:szCs w:val="22"/>
        </w:rPr>
        <w:t xml:space="preserve">Asian Infrastructure </w:t>
      </w:r>
      <w:r w:rsidR="000F0485" w:rsidRPr="00D5106F">
        <w:rPr>
          <w:rFonts w:cs="Arial"/>
          <w:b/>
          <w:szCs w:val="22"/>
        </w:rPr>
        <w:t>Inv</w:t>
      </w:r>
      <w:r w:rsidR="000F0485" w:rsidRPr="00F111D8">
        <w:rPr>
          <w:rFonts w:cs="Arial"/>
          <w:b/>
          <w:szCs w:val="22"/>
        </w:rPr>
        <w:t xml:space="preserve">estment </w:t>
      </w:r>
      <w:r w:rsidRPr="006F71C7">
        <w:rPr>
          <w:rFonts w:cs="Arial"/>
          <w:b/>
          <w:szCs w:val="22"/>
        </w:rPr>
        <w:t>Bank</w:t>
      </w:r>
      <w:r w:rsidR="0098242F" w:rsidRPr="006F71C7">
        <w:rPr>
          <w:rFonts w:cs="Arial"/>
          <w:color w:val="000000"/>
        </w:rPr>
        <w:t xml:space="preserve"> </w:t>
      </w:r>
    </w:p>
    <w:p w14:paraId="35F7FF5C" w14:textId="64C520BF" w:rsidR="00943305" w:rsidRPr="005A6FAD" w:rsidRDefault="00943305" w:rsidP="00943305">
      <w:pPr>
        <w:tabs>
          <w:tab w:val="left" w:pos="0"/>
        </w:tabs>
        <w:spacing w:line="360" w:lineRule="auto"/>
        <w:rPr>
          <w:rFonts w:cs="Arial"/>
          <w:szCs w:val="22"/>
        </w:rPr>
      </w:pPr>
      <w:r w:rsidRPr="000805C9">
        <w:rPr>
          <w:rFonts w:cs="Arial"/>
          <w:szCs w:val="22"/>
        </w:rPr>
        <w:t xml:space="preserve">Konstantin </w:t>
      </w:r>
      <w:proofErr w:type="spellStart"/>
      <w:r w:rsidRPr="000805C9">
        <w:rPr>
          <w:rFonts w:cs="Arial"/>
          <w:szCs w:val="22"/>
        </w:rPr>
        <w:t>Limitovskiy</w:t>
      </w:r>
      <w:proofErr w:type="spellEnd"/>
      <w:r w:rsidRPr="000805C9">
        <w:rPr>
          <w:rFonts w:cs="Arial"/>
          <w:szCs w:val="22"/>
        </w:rPr>
        <w:t>, Vice President, Investment Operations.</w:t>
      </w:r>
    </w:p>
    <w:p w14:paraId="46BD2DF7" w14:textId="77777777" w:rsidR="00D453D1" w:rsidRDefault="00D453D1" w:rsidP="005A6FAD">
      <w:pPr>
        <w:tabs>
          <w:tab w:val="left" w:pos="0"/>
        </w:tabs>
        <w:spacing w:line="360" w:lineRule="auto"/>
        <w:rPr>
          <w:rFonts w:cs="Arial"/>
          <w:b/>
          <w:szCs w:val="22"/>
        </w:rPr>
      </w:pPr>
    </w:p>
    <w:p w14:paraId="52BA27AB" w14:textId="490B049F" w:rsidR="00E35811" w:rsidRDefault="00D453D1" w:rsidP="005A6FAD">
      <w:pPr>
        <w:tabs>
          <w:tab w:val="left" w:pos="0"/>
        </w:tabs>
        <w:spacing w:line="360" w:lineRule="auto"/>
        <w:rPr>
          <w:rFonts w:cs="Arial"/>
          <w:b/>
          <w:szCs w:val="22"/>
        </w:rPr>
      </w:pPr>
      <w:r>
        <w:rPr>
          <w:rFonts w:cs="Arial"/>
          <w:b/>
          <w:szCs w:val="22"/>
        </w:rPr>
        <w:t>European Bank for Reconstruction and Development</w:t>
      </w:r>
    </w:p>
    <w:p w14:paraId="0DC7FCAE" w14:textId="35F36EC6" w:rsidR="000805C9" w:rsidRPr="000805C9" w:rsidRDefault="000805C9" w:rsidP="000805C9">
      <w:pPr>
        <w:tabs>
          <w:tab w:val="left" w:pos="0"/>
        </w:tabs>
        <w:spacing w:line="360" w:lineRule="auto"/>
        <w:rPr>
          <w:rFonts w:cs="Arial"/>
          <w:szCs w:val="22"/>
        </w:rPr>
      </w:pPr>
      <w:r w:rsidRPr="000805C9">
        <w:rPr>
          <w:rFonts w:cs="Arial"/>
          <w:szCs w:val="22"/>
        </w:rPr>
        <w:t xml:space="preserve">Catarina </w:t>
      </w:r>
      <w:proofErr w:type="spellStart"/>
      <w:r w:rsidRPr="000805C9">
        <w:rPr>
          <w:rFonts w:cs="Arial"/>
          <w:szCs w:val="22"/>
        </w:rPr>
        <w:t>Bjorlin</w:t>
      </w:r>
      <w:proofErr w:type="spellEnd"/>
      <w:r w:rsidRPr="000805C9">
        <w:rPr>
          <w:rFonts w:cs="Arial"/>
          <w:szCs w:val="22"/>
        </w:rPr>
        <w:t xml:space="preserve"> Hansen</w:t>
      </w:r>
      <w:r>
        <w:rPr>
          <w:rFonts w:cs="Arial"/>
          <w:szCs w:val="22"/>
        </w:rPr>
        <w:t xml:space="preserve">, </w:t>
      </w:r>
      <w:r w:rsidRPr="000805C9">
        <w:rPr>
          <w:rFonts w:cs="Arial"/>
          <w:szCs w:val="22"/>
        </w:rPr>
        <w:t>Regional Director</w:t>
      </w:r>
    </w:p>
    <w:p w14:paraId="03D97931" w14:textId="77777777" w:rsidR="00D453D1" w:rsidRPr="00F111D8" w:rsidRDefault="00D453D1" w:rsidP="005A6FAD">
      <w:pPr>
        <w:tabs>
          <w:tab w:val="left" w:pos="0"/>
        </w:tabs>
        <w:spacing w:line="360" w:lineRule="auto"/>
        <w:rPr>
          <w:rFonts w:cs="Arial"/>
          <w:b/>
          <w:szCs w:val="22"/>
        </w:rPr>
      </w:pPr>
    </w:p>
    <w:p w14:paraId="0596C4FF" w14:textId="12F26F7B" w:rsidR="00084C48" w:rsidRDefault="0002045E" w:rsidP="005A6FAD">
      <w:pPr>
        <w:tabs>
          <w:tab w:val="left" w:pos="0"/>
        </w:tabs>
        <w:spacing w:line="360" w:lineRule="auto"/>
        <w:rPr>
          <w:rFonts w:cs="Arial"/>
          <w:b/>
          <w:szCs w:val="22"/>
        </w:rPr>
      </w:pPr>
      <w:r>
        <w:rPr>
          <w:rFonts w:cs="Arial"/>
          <w:b/>
          <w:szCs w:val="22"/>
        </w:rPr>
        <w:t>European Union</w:t>
      </w:r>
      <w:r w:rsidR="00943305">
        <w:rPr>
          <w:rFonts w:cs="Arial"/>
          <w:b/>
          <w:szCs w:val="22"/>
        </w:rPr>
        <w:t xml:space="preserve"> Delegation</w:t>
      </w:r>
    </w:p>
    <w:p w14:paraId="77BFFBC3" w14:textId="12E43B87" w:rsidR="00D453D1" w:rsidRPr="00D453D1" w:rsidRDefault="00D453D1" w:rsidP="00D453D1">
      <w:pPr>
        <w:tabs>
          <w:tab w:val="left" w:pos="0"/>
        </w:tabs>
        <w:spacing w:line="360" w:lineRule="auto"/>
        <w:rPr>
          <w:rFonts w:cs="Arial"/>
          <w:bCs/>
          <w:szCs w:val="22"/>
        </w:rPr>
      </w:pPr>
      <w:r w:rsidRPr="00D453D1">
        <w:rPr>
          <w:rFonts w:cs="Arial"/>
          <w:bCs/>
          <w:szCs w:val="22"/>
        </w:rPr>
        <w:t>Vincent Rey</w:t>
      </w:r>
      <w:r>
        <w:rPr>
          <w:rFonts w:cs="Arial"/>
          <w:bCs/>
          <w:szCs w:val="22"/>
        </w:rPr>
        <w:t xml:space="preserve">, Head of Cooperation, </w:t>
      </w:r>
    </w:p>
    <w:p w14:paraId="0F3CAFA9" w14:textId="63BFA9E2" w:rsidR="00D453D1" w:rsidRPr="00D453D1" w:rsidRDefault="00D453D1" w:rsidP="00D453D1">
      <w:pPr>
        <w:tabs>
          <w:tab w:val="left" w:pos="0"/>
        </w:tabs>
        <w:spacing w:line="360" w:lineRule="auto"/>
        <w:rPr>
          <w:rFonts w:cs="Arial"/>
          <w:bCs/>
          <w:szCs w:val="22"/>
        </w:rPr>
      </w:pPr>
      <w:r w:rsidRPr="00D453D1">
        <w:rPr>
          <w:rFonts w:cs="Arial"/>
          <w:bCs/>
          <w:szCs w:val="22"/>
        </w:rPr>
        <w:t xml:space="preserve">Catalin </w:t>
      </w:r>
      <w:proofErr w:type="spellStart"/>
      <w:r w:rsidRPr="00D453D1">
        <w:rPr>
          <w:rFonts w:cs="Arial"/>
          <w:bCs/>
          <w:szCs w:val="22"/>
        </w:rPr>
        <w:t>Gherman</w:t>
      </w:r>
      <w:proofErr w:type="spellEnd"/>
      <w:r w:rsidRPr="00D453D1">
        <w:rPr>
          <w:rFonts w:cs="Arial"/>
          <w:bCs/>
          <w:szCs w:val="22"/>
        </w:rPr>
        <w:t>,</w:t>
      </w:r>
      <w:r>
        <w:rPr>
          <w:rFonts w:cs="Arial"/>
          <w:bCs/>
          <w:szCs w:val="22"/>
        </w:rPr>
        <w:t xml:space="preserve"> Deputy Head of Cooperation,</w:t>
      </w:r>
    </w:p>
    <w:p w14:paraId="10FFC616" w14:textId="77777777" w:rsidR="00D453D1" w:rsidRDefault="00D453D1" w:rsidP="005A6FAD">
      <w:pPr>
        <w:tabs>
          <w:tab w:val="left" w:pos="0"/>
        </w:tabs>
        <w:spacing w:line="360" w:lineRule="auto"/>
        <w:rPr>
          <w:rFonts w:cs="Arial"/>
          <w:bCs/>
          <w:szCs w:val="22"/>
        </w:rPr>
      </w:pPr>
      <w:r w:rsidRPr="00D453D1">
        <w:rPr>
          <w:rFonts w:cs="Arial"/>
          <w:bCs/>
          <w:szCs w:val="22"/>
        </w:rPr>
        <w:t xml:space="preserve">Colombe de </w:t>
      </w:r>
      <w:proofErr w:type="spellStart"/>
      <w:r w:rsidRPr="00D453D1">
        <w:rPr>
          <w:rFonts w:cs="Arial"/>
          <w:bCs/>
          <w:szCs w:val="22"/>
        </w:rPr>
        <w:t>Mercey</w:t>
      </w:r>
      <w:proofErr w:type="spellEnd"/>
      <w:r>
        <w:rPr>
          <w:rFonts w:cs="Arial"/>
          <w:bCs/>
          <w:szCs w:val="22"/>
        </w:rPr>
        <w:t>, Team Leader for Governance and Human Capital</w:t>
      </w:r>
      <w:r w:rsidRPr="00E35811">
        <w:rPr>
          <w:rFonts w:cs="Arial"/>
          <w:bCs/>
          <w:szCs w:val="22"/>
        </w:rPr>
        <w:t xml:space="preserve"> </w:t>
      </w:r>
    </w:p>
    <w:p w14:paraId="45A1C2A1" w14:textId="585214EE" w:rsidR="0002045E" w:rsidRPr="00E35811" w:rsidRDefault="0002045E" w:rsidP="005A6FAD">
      <w:pPr>
        <w:tabs>
          <w:tab w:val="left" w:pos="0"/>
        </w:tabs>
        <w:spacing w:line="360" w:lineRule="auto"/>
        <w:rPr>
          <w:rFonts w:cs="Arial"/>
          <w:bCs/>
          <w:szCs w:val="22"/>
        </w:rPr>
      </w:pPr>
      <w:r w:rsidRPr="00E35811">
        <w:rPr>
          <w:rFonts w:cs="Arial"/>
          <w:bCs/>
          <w:szCs w:val="22"/>
        </w:rPr>
        <w:t xml:space="preserve">Nino </w:t>
      </w:r>
      <w:proofErr w:type="spellStart"/>
      <w:r w:rsidRPr="00E35811">
        <w:rPr>
          <w:rFonts w:cs="Arial"/>
          <w:bCs/>
          <w:szCs w:val="22"/>
        </w:rPr>
        <w:t>Samvelidze</w:t>
      </w:r>
      <w:proofErr w:type="spellEnd"/>
      <w:r w:rsidR="00D453D1">
        <w:rPr>
          <w:rFonts w:cs="Arial"/>
          <w:bCs/>
          <w:szCs w:val="22"/>
        </w:rPr>
        <w:t xml:space="preserve">, </w:t>
      </w:r>
      <w:proofErr w:type="spellStart"/>
      <w:r w:rsidR="00D453D1">
        <w:rPr>
          <w:rFonts w:cs="Arial"/>
          <w:bCs/>
          <w:szCs w:val="22"/>
        </w:rPr>
        <w:t>P</w:t>
      </w:r>
      <w:r w:rsidR="00D453D1" w:rsidRPr="00D453D1">
        <w:rPr>
          <w:rFonts w:cs="Arial"/>
          <w:bCs/>
          <w:szCs w:val="22"/>
        </w:rPr>
        <w:t>rogramme</w:t>
      </w:r>
      <w:proofErr w:type="spellEnd"/>
      <w:r w:rsidR="00D453D1" w:rsidRPr="00D453D1">
        <w:rPr>
          <w:rFonts w:cs="Arial"/>
          <w:bCs/>
          <w:szCs w:val="22"/>
        </w:rPr>
        <w:t xml:space="preserve"> Manager for Digital Economy, Youth, Culture and M&amp;E</w:t>
      </w:r>
    </w:p>
    <w:p w14:paraId="5C82355E" w14:textId="0A4634AA" w:rsidR="00E35811" w:rsidRPr="00D453D1" w:rsidRDefault="00E35811" w:rsidP="00E31501">
      <w:pPr>
        <w:tabs>
          <w:tab w:val="left" w:pos="0"/>
        </w:tabs>
        <w:spacing w:line="360" w:lineRule="auto"/>
        <w:rPr>
          <w:rFonts w:cs="Arial"/>
          <w:b/>
          <w:szCs w:val="22"/>
        </w:rPr>
      </w:pPr>
    </w:p>
    <w:p w14:paraId="425F053F" w14:textId="29010DAA" w:rsidR="00E35811" w:rsidRPr="00E35811" w:rsidRDefault="00E35811" w:rsidP="00E31501">
      <w:pPr>
        <w:tabs>
          <w:tab w:val="left" w:pos="0"/>
        </w:tabs>
        <w:spacing w:line="360" w:lineRule="auto"/>
        <w:rPr>
          <w:rFonts w:cs="Arial"/>
          <w:b/>
          <w:szCs w:val="22"/>
        </w:rPr>
      </w:pPr>
      <w:r w:rsidRPr="00E35811">
        <w:rPr>
          <w:rFonts w:cs="Arial"/>
          <w:b/>
          <w:szCs w:val="22"/>
        </w:rPr>
        <w:t>International Monetary F</w:t>
      </w:r>
      <w:r>
        <w:rPr>
          <w:rFonts w:cs="Arial"/>
          <w:b/>
          <w:szCs w:val="22"/>
        </w:rPr>
        <w:t>und</w:t>
      </w:r>
    </w:p>
    <w:p w14:paraId="21AB8FD8" w14:textId="43D10DF4" w:rsidR="00E31501" w:rsidRPr="0002045E" w:rsidRDefault="00E31501" w:rsidP="00E31501">
      <w:pPr>
        <w:tabs>
          <w:tab w:val="left" w:pos="0"/>
        </w:tabs>
        <w:spacing w:line="360" w:lineRule="auto"/>
        <w:rPr>
          <w:rFonts w:cs="Arial"/>
          <w:color w:val="000000"/>
        </w:rPr>
      </w:pPr>
      <w:r w:rsidRPr="0002045E">
        <w:rPr>
          <w:rFonts w:cs="Arial"/>
          <w:color w:val="000000"/>
        </w:rPr>
        <w:t>Selim Cakir,</w:t>
      </w:r>
      <w:r w:rsidR="002402C3">
        <w:rPr>
          <w:rFonts w:cs="Arial"/>
          <w:color w:val="000000"/>
        </w:rPr>
        <w:t xml:space="preserve"> Resident Representative for the IMF in Georgia</w:t>
      </w:r>
    </w:p>
    <w:p w14:paraId="0F07F03B" w14:textId="5A1573F1" w:rsidR="00E31501" w:rsidRPr="002402C3" w:rsidRDefault="00E31501" w:rsidP="00E31501">
      <w:pPr>
        <w:tabs>
          <w:tab w:val="left" w:pos="0"/>
        </w:tabs>
        <w:spacing w:line="360" w:lineRule="auto"/>
        <w:rPr>
          <w:rFonts w:cs="Arial"/>
          <w:color w:val="000000"/>
        </w:rPr>
      </w:pPr>
      <w:r w:rsidRPr="002402C3">
        <w:rPr>
          <w:rFonts w:cs="Arial"/>
          <w:color w:val="000000"/>
        </w:rPr>
        <w:t>Mercedes Vera Martin,</w:t>
      </w:r>
      <w:r w:rsidR="002402C3" w:rsidRPr="002402C3">
        <w:rPr>
          <w:rFonts w:cs="Arial"/>
          <w:color w:val="000000"/>
        </w:rPr>
        <w:t xml:space="preserve"> Deputy Division Ch</w:t>
      </w:r>
      <w:r w:rsidR="002402C3">
        <w:rPr>
          <w:rFonts w:cs="Arial"/>
          <w:color w:val="000000"/>
        </w:rPr>
        <w:t>ief, Middle East and Central Asia Department</w:t>
      </w:r>
    </w:p>
    <w:p w14:paraId="4A01D914" w14:textId="24C6C6EB" w:rsidR="00E31501" w:rsidRPr="0002045E" w:rsidRDefault="00E31501" w:rsidP="00E31501">
      <w:pPr>
        <w:tabs>
          <w:tab w:val="left" w:pos="0"/>
        </w:tabs>
        <w:spacing w:line="360" w:lineRule="auto"/>
        <w:rPr>
          <w:rFonts w:cs="Arial"/>
          <w:color w:val="000000"/>
        </w:rPr>
      </w:pPr>
      <w:r w:rsidRPr="0002045E">
        <w:rPr>
          <w:rFonts w:cs="Arial"/>
          <w:color w:val="000000"/>
        </w:rPr>
        <w:t xml:space="preserve">Neree Noumon, </w:t>
      </w:r>
      <w:r w:rsidR="002402C3">
        <w:rPr>
          <w:rFonts w:cs="Arial"/>
          <w:color w:val="000000"/>
        </w:rPr>
        <w:t>Economist</w:t>
      </w:r>
    </w:p>
    <w:p w14:paraId="02B3F639" w14:textId="7A544798" w:rsidR="0002045E" w:rsidRPr="002402C3" w:rsidRDefault="0002045E" w:rsidP="00E31501">
      <w:pPr>
        <w:tabs>
          <w:tab w:val="left" w:pos="0"/>
        </w:tabs>
        <w:spacing w:line="360" w:lineRule="auto"/>
        <w:rPr>
          <w:rFonts w:cs="Arial"/>
          <w:color w:val="000000"/>
        </w:rPr>
      </w:pPr>
      <w:r w:rsidRPr="002402C3">
        <w:rPr>
          <w:rFonts w:cs="Arial"/>
          <w:color w:val="000000"/>
        </w:rPr>
        <w:t>Nia Sharashidze</w:t>
      </w:r>
      <w:r w:rsidR="00D453D1">
        <w:rPr>
          <w:rFonts w:cs="Arial"/>
          <w:color w:val="000000"/>
        </w:rPr>
        <w:t>, Economist</w:t>
      </w:r>
    </w:p>
    <w:p w14:paraId="0ACF10CA" w14:textId="77777777" w:rsidR="00AD1351" w:rsidRDefault="00AD1351" w:rsidP="00AD1351">
      <w:pPr>
        <w:tabs>
          <w:tab w:val="left" w:pos="0"/>
        </w:tabs>
        <w:spacing w:line="360" w:lineRule="auto"/>
        <w:rPr>
          <w:rFonts w:cs="Arial"/>
          <w:b/>
          <w:szCs w:val="22"/>
        </w:rPr>
      </w:pPr>
    </w:p>
    <w:p w14:paraId="3C0BFF1E" w14:textId="37386D8A" w:rsidR="004137B4" w:rsidRPr="00AD1351" w:rsidRDefault="004137B4" w:rsidP="005A6FAD">
      <w:pPr>
        <w:tabs>
          <w:tab w:val="left" w:pos="0"/>
        </w:tabs>
        <w:spacing w:line="360" w:lineRule="auto"/>
        <w:rPr>
          <w:rFonts w:cs="Arial"/>
          <w:b/>
          <w:szCs w:val="22"/>
        </w:rPr>
      </w:pPr>
      <w:r w:rsidRPr="00AD1351">
        <w:rPr>
          <w:rFonts w:cs="Arial"/>
          <w:b/>
          <w:szCs w:val="22"/>
        </w:rPr>
        <w:t>World Bank</w:t>
      </w:r>
    </w:p>
    <w:p w14:paraId="2149F286" w14:textId="4CBF7A12" w:rsidR="00E35811" w:rsidRDefault="00E35811" w:rsidP="00D453D1">
      <w:pPr>
        <w:spacing w:line="360" w:lineRule="auto"/>
        <w:rPr>
          <w:rFonts w:cs="Arial"/>
          <w:szCs w:val="22"/>
        </w:rPr>
      </w:pPr>
      <w:r>
        <w:rPr>
          <w:rFonts w:cs="Arial"/>
          <w:szCs w:val="22"/>
        </w:rPr>
        <w:t>Sebastian Molineus,</w:t>
      </w:r>
      <w:r w:rsidR="00874F28">
        <w:rPr>
          <w:rFonts w:cs="Arial"/>
          <w:szCs w:val="22"/>
        </w:rPr>
        <w:t xml:space="preserve"> Regional Director for the South </w:t>
      </w:r>
      <w:r w:rsidR="002402C3">
        <w:rPr>
          <w:rFonts w:cs="Arial"/>
          <w:szCs w:val="22"/>
        </w:rPr>
        <w:t>Caucasus</w:t>
      </w:r>
    </w:p>
    <w:p w14:paraId="2A8B83E2" w14:textId="3AABCF22" w:rsidR="00E35811" w:rsidRPr="00874F28" w:rsidRDefault="00874F28" w:rsidP="00D453D1">
      <w:pPr>
        <w:spacing w:line="360" w:lineRule="auto"/>
        <w:rPr>
          <w:rFonts w:cs="Arial"/>
          <w:szCs w:val="22"/>
        </w:rPr>
      </w:pPr>
      <w:proofErr w:type="spellStart"/>
      <w:r w:rsidRPr="00874F28">
        <w:rPr>
          <w:rFonts w:cs="Arial"/>
          <w:szCs w:val="22"/>
        </w:rPr>
        <w:t>Cem</w:t>
      </w:r>
      <w:proofErr w:type="spellEnd"/>
      <w:r w:rsidRPr="00874F28">
        <w:rPr>
          <w:rFonts w:cs="Arial"/>
          <w:szCs w:val="22"/>
        </w:rPr>
        <w:t xml:space="preserve"> Mete, Practice Manager, Social Pro</w:t>
      </w:r>
      <w:r>
        <w:rPr>
          <w:rFonts w:cs="Arial"/>
          <w:szCs w:val="22"/>
        </w:rPr>
        <w:t>tection and Labor Department</w:t>
      </w:r>
    </w:p>
    <w:p w14:paraId="3C057D38" w14:textId="4CDC7732" w:rsidR="00874F28" w:rsidRPr="00874F28" w:rsidRDefault="00874F28" w:rsidP="00D453D1">
      <w:pPr>
        <w:spacing w:line="360" w:lineRule="auto"/>
        <w:rPr>
          <w:rFonts w:cs="Arial"/>
          <w:szCs w:val="22"/>
        </w:rPr>
      </w:pPr>
      <w:r w:rsidRPr="00874F28">
        <w:rPr>
          <w:rFonts w:cs="Arial"/>
          <w:szCs w:val="22"/>
        </w:rPr>
        <w:t xml:space="preserve">Lire Ersado, </w:t>
      </w:r>
      <w:r>
        <w:rPr>
          <w:rFonts w:cs="Arial"/>
          <w:szCs w:val="22"/>
        </w:rPr>
        <w:t>P</w:t>
      </w:r>
      <w:r w:rsidRPr="00874F28">
        <w:rPr>
          <w:rFonts w:cs="Arial"/>
          <w:szCs w:val="22"/>
        </w:rPr>
        <w:t>rogram Leader for the South Caucasus, Europe and Central Asia Region (ECA)</w:t>
      </w:r>
    </w:p>
    <w:p w14:paraId="5CC3F798" w14:textId="281A2926" w:rsidR="00F532C4" w:rsidRDefault="00874F28" w:rsidP="00D453D1">
      <w:pPr>
        <w:spacing w:line="360" w:lineRule="auto"/>
        <w:rPr>
          <w:rFonts w:cs="Arial"/>
          <w:szCs w:val="22"/>
        </w:rPr>
      </w:pPr>
      <w:r w:rsidRPr="00874F28">
        <w:rPr>
          <w:rFonts w:cs="Arial"/>
          <w:szCs w:val="22"/>
        </w:rPr>
        <w:t>Maddalena Honorati, Senior Economist, Social Protection and</w:t>
      </w:r>
      <w:r>
        <w:rPr>
          <w:rFonts w:cs="Arial"/>
          <w:szCs w:val="22"/>
        </w:rPr>
        <w:t xml:space="preserve"> Labor Department</w:t>
      </w:r>
    </w:p>
    <w:p w14:paraId="0EA957D9" w14:textId="77777777" w:rsidR="00EC07C0" w:rsidRPr="00874F28" w:rsidRDefault="00EC07C0" w:rsidP="00D453D1">
      <w:pPr>
        <w:spacing w:line="360" w:lineRule="auto"/>
        <w:rPr>
          <w:rFonts w:cs="Arial"/>
          <w:szCs w:val="22"/>
        </w:rPr>
      </w:pPr>
    </w:p>
    <w:p w14:paraId="082404F8" w14:textId="4E442A5E" w:rsidR="006B7395" w:rsidRDefault="00EC07C0" w:rsidP="00D453D1">
      <w:pPr>
        <w:tabs>
          <w:tab w:val="left" w:pos="0"/>
        </w:tabs>
        <w:spacing w:line="360" w:lineRule="auto"/>
        <w:rPr>
          <w:rFonts w:cs="Arial"/>
          <w:b/>
          <w:szCs w:val="22"/>
        </w:rPr>
      </w:pPr>
      <w:r>
        <w:rPr>
          <w:rFonts w:cs="Arial"/>
          <w:b/>
          <w:szCs w:val="22"/>
        </w:rPr>
        <w:t>World Health Organization</w:t>
      </w:r>
    </w:p>
    <w:p w14:paraId="5BB585DA" w14:textId="4A352D54" w:rsidR="00267846" w:rsidRPr="005A12B3" w:rsidRDefault="00943305" w:rsidP="00613EE1">
      <w:pPr>
        <w:tabs>
          <w:tab w:val="left" w:pos="0"/>
        </w:tabs>
        <w:rPr>
          <w:rFonts w:cs="Arial"/>
          <w:bCs/>
          <w:szCs w:val="22"/>
        </w:rPr>
      </w:pPr>
      <w:proofErr w:type="spellStart"/>
      <w:r w:rsidRPr="005A12B3">
        <w:rPr>
          <w:rFonts w:cs="Arial"/>
          <w:bCs/>
          <w:szCs w:val="22"/>
        </w:rPr>
        <w:t>Vasili</w:t>
      </w:r>
      <w:proofErr w:type="spellEnd"/>
      <w:r w:rsidRPr="005A12B3">
        <w:rPr>
          <w:rFonts w:cs="Arial"/>
          <w:bCs/>
          <w:szCs w:val="22"/>
        </w:rPr>
        <w:t xml:space="preserve"> </w:t>
      </w:r>
      <w:proofErr w:type="spellStart"/>
      <w:r w:rsidRPr="005A12B3">
        <w:rPr>
          <w:rFonts w:cs="Arial"/>
          <w:bCs/>
          <w:szCs w:val="22"/>
        </w:rPr>
        <w:t>Esenamanov</w:t>
      </w:r>
      <w:proofErr w:type="spellEnd"/>
      <w:r w:rsidRPr="005A12B3">
        <w:rPr>
          <w:rFonts w:cs="Arial"/>
          <w:bCs/>
          <w:szCs w:val="22"/>
        </w:rPr>
        <w:t xml:space="preserve">, </w:t>
      </w:r>
      <w:r w:rsidR="005A12B3" w:rsidRPr="005A12B3">
        <w:rPr>
          <w:rFonts w:cs="Arial"/>
          <w:bCs/>
          <w:szCs w:val="22"/>
        </w:rPr>
        <w:t>Regional Coordinator for Caucasus</w:t>
      </w:r>
    </w:p>
    <w:p w14:paraId="7D1CFCA7" w14:textId="5C158A8D" w:rsidR="00267846" w:rsidRDefault="00267846" w:rsidP="00613EE1">
      <w:pPr>
        <w:tabs>
          <w:tab w:val="left" w:pos="0"/>
        </w:tabs>
        <w:rPr>
          <w:rFonts w:cs="Arial"/>
          <w:b/>
          <w:szCs w:val="22"/>
        </w:rPr>
      </w:pPr>
    </w:p>
    <w:p w14:paraId="4171350A" w14:textId="2F0C971A" w:rsidR="00267846" w:rsidRDefault="00267846" w:rsidP="00613EE1">
      <w:pPr>
        <w:tabs>
          <w:tab w:val="left" w:pos="0"/>
        </w:tabs>
        <w:rPr>
          <w:rFonts w:cs="Arial"/>
          <w:b/>
          <w:szCs w:val="22"/>
        </w:rPr>
      </w:pPr>
    </w:p>
    <w:p w14:paraId="110D8B74" w14:textId="4FAB8DCC" w:rsidR="00267846" w:rsidRDefault="00267846" w:rsidP="00613EE1">
      <w:pPr>
        <w:tabs>
          <w:tab w:val="left" w:pos="0"/>
        </w:tabs>
        <w:rPr>
          <w:rFonts w:cs="Arial"/>
          <w:b/>
          <w:szCs w:val="22"/>
        </w:rPr>
      </w:pPr>
    </w:p>
    <w:p w14:paraId="036BAED8" w14:textId="551F3EE1" w:rsidR="00267846" w:rsidRDefault="00267846" w:rsidP="00613EE1">
      <w:pPr>
        <w:tabs>
          <w:tab w:val="left" w:pos="0"/>
        </w:tabs>
        <w:rPr>
          <w:rFonts w:cs="Arial"/>
          <w:b/>
          <w:szCs w:val="22"/>
        </w:rPr>
      </w:pPr>
    </w:p>
    <w:p w14:paraId="2ABC103C" w14:textId="0BC7A71D" w:rsidR="00267846" w:rsidRDefault="00267846" w:rsidP="00613EE1">
      <w:pPr>
        <w:tabs>
          <w:tab w:val="left" w:pos="0"/>
        </w:tabs>
        <w:rPr>
          <w:rFonts w:cs="Arial"/>
          <w:b/>
          <w:szCs w:val="22"/>
        </w:rPr>
      </w:pPr>
    </w:p>
    <w:p w14:paraId="0562CACC" w14:textId="3A0A9D9F" w:rsidR="00267846" w:rsidRDefault="00267846" w:rsidP="00613EE1">
      <w:pPr>
        <w:tabs>
          <w:tab w:val="left" w:pos="0"/>
        </w:tabs>
        <w:rPr>
          <w:rFonts w:cs="Arial"/>
          <w:b/>
          <w:szCs w:val="22"/>
        </w:rPr>
      </w:pPr>
    </w:p>
    <w:p w14:paraId="444DA85D" w14:textId="7240DC30" w:rsidR="00267846" w:rsidRDefault="00267846" w:rsidP="00613EE1">
      <w:pPr>
        <w:tabs>
          <w:tab w:val="left" w:pos="0"/>
        </w:tabs>
        <w:rPr>
          <w:rFonts w:cs="Arial"/>
          <w:b/>
          <w:szCs w:val="22"/>
        </w:rPr>
      </w:pPr>
    </w:p>
    <w:p w14:paraId="3D4C0690" w14:textId="28A49629" w:rsidR="00267846" w:rsidRDefault="00267846" w:rsidP="00613EE1">
      <w:pPr>
        <w:tabs>
          <w:tab w:val="left" w:pos="0"/>
        </w:tabs>
        <w:rPr>
          <w:rFonts w:cs="Arial"/>
          <w:b/>
          <w:szCs w:val="22"/>
        </w:rPr>
      </w:pPr>
    </w:p>
    <w:p w14:paraId="4D21602F" w14:textId="1473DB3F" w:rsidR="00267846" w:rsidRDefault="00267846" w:rsidP="00613EE1">
      <w:pPr>
        <w:tabs>
          <w:tab w:val="left" w:pos="0"/>
        </w:tabs>
        <w:rPr>
          <w:rFonts w:cs="Arial"/>
          <w:b/>
          <w:szCs w:val="22"/>
        </w:rPr>
      </w:pPr>
    </w:p>
    <w:p w14:paraId="3BAEB024" w14:textId="37A82E05" w:rsidR="00267846" w:rsidRDefault="00267846" w:rsidP="00613EE1">
      <w:pPr>
        <w:tabs>
          <w:tab w:val="left" w:pos="0"/>
        </w:tabs>
        <w:rPr>
          <w:rFonts w:cs="Arial"/>
          <w:b/>
          <w:szCs w:val="22"/>
        </w:rPr>
      </w:pPr>
    </w:p>
    <w:p w14:paraId="49FA4098" w14:textId="208CEBB3" w:rsidR="00267846" w:rsidRDefault="00267846" w:rsidP="00613EE1">
      <w:pPr>
        <w:tabs>
          <w:tab w:val="left" w:pos="0"/>
        </w:tabs>
        <w:rPr>
          <w:rFonts w:cs="Arial"/>
          <w:b/>
          <w:szCs w:val="22"/>
        </w:rPr>
      </w:pPr>
    </w:p>
    <w:p w14:paraId="593AFBC1" w14:textId="46D91120" w:rsidR="00267846" w:rsidRDefault="00267846" w:rsidP="00613EE1">
      <w:pPr>
        <w:tabs>
          <w:tab w:val="left" w:pos="0"/>
        </w:tabs>
        <w:rPr>
          <w:rFonts w:cs="Arial"/>
          <w:b/>
          <w:szCs w:val="22"/>
        </w:rPr>
      </w:pPr>
    </w:p>
    <w:p w14:paraId="1072D5B0" w14:textId="207C8B58" w:rsidR="00267846" w:rsidRDefault="00267846" w:rsidP="00613EE1">
      <w:pPr>
        <w:tabs>
          <w:tab w:val="left" w:pos="0"/>
        </w:tabs>
        <w:rPr>
          <w:rFonts w:cs="Arial"/>
          <w:b/>
          <w:szCs w:val="22"/>
        </w:rPr>
      </w:pPr>
    </w:p>
    <w:p w14:paraId="64FA709B" w14:textId="76BEC8A4" w:rsidR="00267846" w:rsidRDefault="00267846" w:rsidP="00613EE1">
      <w:pPr>
        <w:tabs>
          <w:tab w:val="left" w:pos="0"/>
        </w:tabs>
        <w:rPr>
          <w:rFonts w:cs="Arial"/>
          <w:b/>
          <w:szCs w:val="22"/>
        </w:rPr>
      </w:pPr>
    </w:p>
    <w:p w14:paraId="10242FB8" w14:textId="57476E4C" w:rsidR="00267846" w:rsidRDefault="00267846" w:rsidP="00613EE1">
      <w:pPr>
        <w:tabs>
          <w:tab w:val="left" w:pos="0"/>
        </w:tabs>
        <w:rPr>
          <w:rFonts w:cs="Arial"/>
          <w:b/>
          <w:szCs w:val="22"/>
        </w:rPr>
      </w:pPr>
    </w:p>
    <w:p w14:paraId="6A5F4C3F" w14:textId="64FD09A4" w:rsidR="00267846" w:rsidRDefault="00267846" w:rsidP="00613EE1">
      <w:pPr>
        <w:tabs>
          <w:tab w:val="left" w:pos="0"/>
        </w:tabs>
        <w:rPr>
          <w:rFonts w:cs="Arial"/>
          <w:b/>
          <w:szCs w:val="22"/>
        </w:rPr>
      </w:pPr>
    </w:p>
    <w:p w14:paraId="5A67C2FA" w14:textId="59AFC7F6" w:rsidR="00267846" w:rsidRDefault="00267846" w:rsidP="00613EE1">
      <w:pPr>
        <w:tabs>
          <w:tab w:val="left" w:pos="0"/>
        </w:tabs>
        <w:rPr>
          <w:rFonts w:cs="Arial"/>
          <w:b/>
          <w:szCs w:val="22"/>
        </w:rPr>
      </w:pPr>
    </w:p>
    <w:p w14:paraId="47970BB9" w14:textId="08A98C81" w:rsidR="00267846" w:rsidRDefault="00267846" w:rsidP="00613EE1">
      <w:pPr>
        <w:tabs>
          <w:tab w:val="left" w:pos="0"/>
        </w:tabs>
        <w:rPr>
          <w:rFonts w:cs="Arial"/>
          <w:b/>
          <w:szCs w:val="22"/>
        </w:rPr>
      </w:pPr>
    </w:p>
    <w:p w14:paraId="6B7FF199" w14:textId="1889262F" w:rsidR="00267846" w:rsidRDefault="00267846" w:rsidP="00613EE1">
      <w:pPr>
        <w:tabs>
          <w:tab w:val="left" w:pos="0"/>
        </w:tabs>
        <w:rPr>
          <w:rFonts w:cs="Arial"/>
          <w:b/>
          <w:szCs w:val="22"/>
        </w:rPr>
      </w:pPr>
    </w:p>
    <w:p w14:paraId="608AA832" w14:textId="42637F2C" w:rsidR="00EC07C0" w:rsidRDefault="00EC07C0" w:rsidP="00613EE1">
      <w:pPr>
        <w:tabs>
          <w:tab w:val="left" w:pos="0"/>
        </w:tabs>
        <w:rPr>
          <w:rFonts w:cs="Arial"/>
          <w:b/>
          <w:szCs w:val="22"/>
        </w:rPr>
      </w:pPr>
    </w:p>
    <w:p w14:paraId="7E12A23B" w14:textId="2BE6BD2D" w:rsidR="00EC07C0" w:rsidRDefault="00EC07C0" w:rsidP="00613EE1">
      <w:pPr>
        <w:tabs>
          <w:tab w:val="left" w:pos="0"/>
        </w:tabs>
        <w:rPr>
          <w:rFonts w:cs="Arial"/>
          <w:b/>
          <w:szCs w:val="22"/>
        </w:rPr>
      </w:pPr>
    </w:p>
    <w:p w14:paraId="4DF4380B" w14:textId="2D16EFE3" w:rsidR="00EC07C0" w:rsidRDefault="00EC07C0" w:rsidP="00613EE1">
      <w:pPr>
        <w:tabs>
          <w:tab w:val="left" w:pos="0"/>
        </w:tabs>
        <w:rPr>
          <w:rFonts w:cs="Arial"/>
          <w:b/>
          <w:szCs w:val="22"/>
        </w:rPr>
      </w:pPr>
    </w:p>
    <w:p w14:paraId="63FDB4E6" w14:textId="1711C8CE" w:rsidR="00EC07C0" w:rsidRDefault="00EC07C0" w:rsidP="00613EE1">
      <w:pPr>
        <w:tabs>
          <w:tab w:val="left" w:pos="0"/>
        </w:tabs>
        <w:rPr>
          <w:rFonts w:cs="Arial"/>
          <w:b/>
          <w:szCs w:val="22"/>
        </w:rPr>
      </w:pPr>
    </w:p>
    <w:p w14:paraId="205133DF" w14:textId="663FABDB" w:rsidR="00EC07C0" w:rsidRDefault="00EC07C0" w:rsidP="00613EE1">
      <w:pPr>
        <w:tabs>
          <w:tab w:val="left" w:pos="0"/>
        </w:tabs>
        <w:rPr>
          <w:rFonts w:cs="Arial"/>
          <w:b/>
          <w:szCs w:val="22"/>
        </w:rPr>
      </w:pPr>
    </w:p>
    <w:p w14:paraId="33B0D317" w14:textId="219EEDBA" w:rsidR="00EC07C0" w:rsidRDefault="00EC07C0" w:rsidP="00613EE1">
      <w:pPr>
        <w:tabs>
          <w:tab w:val="left" w:pos="0"/>
        </w:tabs>
        <w:rPr>
          <w:rFonts w:cs="Arial"/>
          <w:b/>
          <w:szCs w:val="22"/>
        </w:rPr>
      </w:pPr>
    </w:p>
    <w:p w14:paraId="6912C046" w14:textId="0F67371E" w:rsidR="00EC07C0" w:rsidRDefault="00EC07C0" w:rsidP="00613EE1">
      <w:pPr>
        <w:tabs>
          <w:tab w:val="left" w:pos="0"/>
        </w:tabs>
        <w:rPr>
          <w:rFonts w:cs="Arial"/>
          <w:b/>
          <w:szCs w:val="22"/>
        </w:rPr>
      </w:pPr>
    </w:p>
    <w:p w14:paraId="05BA2CC7" w14:textId="52548E95" w:rsidR="00EC07C0" w:rsidRDefault="00EC07C0" w:rsidP="00613EE1">
      <w:pPr>
        <w:tabs>
          <w:tab w:val="left" w:pos="0"/>
        </w:tabs>
        <w:rPr>
          <w:rFonts w:cs="Arial"/>
          <w:b/>
          <w:szCs w:val="22"/>
        </w:rPr>
      </w:pPr>
    </w:p>
    <w:p w14:paraId="10EEBE20" w14:textId="32009CDB" w:rsidR="00EC07C0" w:rsidRDefault="00EC07C0" w:rsidP="00613EE1">
      <w:pPr>
        <w:tabs>
          <w:tab w:val="left" w:pos="0"/>
        </w:tabs>
        <w:rPr>
          <w:rFonts w:cs="Arial"/>
          <w:b/>
          <w:szCs w:val="22"/>
        </w:rPr>
      </w:pPr>
    </w:p>
    <w:p w14:paraId="5C8E3F1F" w14:textId="58185FA1" w:rsidR="00EC07C0" w:rsidRDefault="00EC07C0" w:rsidP="00613EE1">
      <w:pPr>
        <w:tabs>
          <w:tab w:val="left" w:pos="0"/>
        </w:tabs>
        <w:rPr>
          <w:rFonts w:cs="Arial"/>
          <w:b/>
          <w:szCs w:val="22"/>
        </w:rPr>
      </w:pPr>
    </w:p>
    <w:p w14:paraId="3A197563" w14:textId="7DB91EE4" w:rsidR="00EC07C0" w:rsidRDefault="00EC07C0" w:rsidP="00613EE1">
      <w:pPr>
        <w:tabs>
          <w:tab w:val="left" w:pos="0"/>
        </w:tabs>
        <w:rPr>
          <w:rFonts w:cs="Arial"/>
          <w:b/>
          <w:szCs w:val="22"/>
        </w:rPr>
      </w:pPr>
    </w:p>
    <w:p w14:paraId="41E31F6B" w14:textId="413918D3" w:rsidR="00EC07C0" w:rsidRDefault="00EC07C0" w:rsidP="00613EE1">
      <w:pPr>
        <w:tabs>
          <w:tab w:val="left" w:pos="0"/>
        </w:tabs>
        <w:rPr>
          <w:rFonts w:cs="Arial"/>
          <w:b/>
          <w:szCs w:val="22"/>
        </w:rPr>
      </w:pPr>
    </w:p>
    <w:p w14:paraId="467A1F08" w14:textId="56056194" w:rsidR="00EC07C0" w:rsidRDefault="00EC07C0" w:rsidP="00613EE1">
      <w:pPr>
        <w:tabs>
          <w:tab w:val="left" w:pos="0"/>
        </w:tabs>
        <w:rPr>
          <w:rFonts w:cs="Arial"/>
          <w:b/>
          <w:szCs w:val="22"/>
        </w:rPr>
      </w:pPr>
    </w:p>
    <w:p w14:paraId="277D4548" w14:textId="0BD79ED2" w:rsidR="00EC07C0" w:rsidRDefault="00EC07C0" w:rsidP="00613EE1">
      <w:pPr>
        <w:tabs>
          <w:tab w:val="left" w:pos="0"/>
        </w:tabs>
        <w:rPr>
          <w:rFonts w:cs="Arial"/>
          <w:b/>
          <w:szCs w:val="22"/>
        </w:rPr>
      </w:pPr>
    </w:p>
    <w:p w14:paraId="69F49296" w14:textId="66A87C73" w:rsidR="00EC07C0" w:rsidRDefault="00EC07C0" w:rsidP="00613EE1">
      <w:pPr>
        <w:tabs>
          <w:tab w:val="left" w:pos="0"/>
        </w:tabs>
        <w:rPr>
          <w:rFonts w:cs="Arial"/>
          <w:b/>
          <w:szCs w:val="22"/>
        </w:rPr>
      </w:pPr>
    </w:p>
    <w:p w14:paraId="68BB408F" w14:textId="72A8A6A8" w:rsidR="00EC07C0" w:rsidRDefault="00EC07C0" w:rsidP="00613EE1">
      <w:pPr>
        <w:tabs>
          <w:tab w:val="left" w:pos="0"/>
        </w:tabs>
        <w:rPr>
          <w:rFonts w:cs="Arial"/>
          <w:b/>
          <w:szCs w:val="22"/>
        </w:rPr>
      </w:pPr>
    </w:p>
    <w:p w14:paraId="4B0E6CC6" w14:textId="036FB795" w:rsidR="00EC07C0" w:rsidRDefault="00EC07C0" w:rsidP="00613EE1">
      <w:pPr>
        <w:tabs>
          <w:tab w:val="left" w:pos="0"/>
        </w:tabs>
        <w:rPr>
          <w:rFonts w:cs="Arial"/>
          <w:b/>
          <w:szCs w:val="22"/>
        </w:rPr>
      </w:pPr>
    </w:p>
    <w:p w14:paraId="6FE285D3" w14:textId="6034E06B" w:rsidR="00EC07C0" w:rsidRDefault="00EC07C0" w:rsidP="00613EE1">
      <w:pPr>
        <w:tabs>
          <w:tab w:val="left" w:pos="0"/>
        </w:tabs>
        <w:rPr>
          <w:rFonts w:cs="Arial"/>
          <w:b/>
          <w:szCs w:val="22"/>
        </w:rPr>
      </w:pPr>
    </w:p>
    <w:p w14:paraId="679250F2" w14:textId="73383937" w:rsidR="00EC07C0" w:rsidRDefault="00EC07C0" w:rsidP="00613EE1">
      <w:pPr>
        <w:tabs>
          <w:tab w:val="left" w:pos="0"/>
        </w:tabs>
        <w:rPr>
          <w:rFonts w:cs="Arial"/>
          <w:b/>
          <w:szCs w:val="22"/>
        </w:rPr>
      </w:pPr>
    </w:p>
    <w:p w14:paraId="737AD9B3" w14:textId="77777777" w:rsidR="002F6D01" w:rsidRPr="00607F73" w:rsidRDefault="002F6D01" w:rsidP="002F6D01">
      <w:pPr>
        <w:keepNext/>
        <w:jc w:val="center"/>
        <w:outlineLvl w:val="0"/>
        <w:rPr>
          <w:rFonts w:eastAsia="SimSun"/>
          <w:b/>
          <w:caps/>
          <w:kern w:val="28"/>
          <w:szCs w:val="22"/>
        </w:rPr>
      </w:pPr>
      <w:bookmarkStart w:id="3" w:name="_Toc39790018"/>
      <w:bookmarkStart w:id="4" w:name="_Toc246237727"/>
      <w:r w:rsidRPr="00607F73">
        <w:rPr>
          <w:rFonts w:eastAsia="SimSun"/>
          <w:b/>
          <w:caps/>
          <w:kern w:val="28"/>
          <w:szCs w:val="22"/>
        </w:rPr>
        <w:t>Design and Monitoring Framework</w:t>
      </w:r>
      <w:bookmarkEnd w:id="3"/>
    </w:p>
    <w:p w14:paraId="4AFEAA7A" w14:textId="77777777" w:rsidR="002F6D01" w:rsidRPr="00607F73" w:rsidRDefault="002F6D01" w:rsidP="002F6D01">
      <w:pPr>
        <w:keepNext/>
        <w:jc w:val="center"/>
        <w:outlineLvl w:val="0"/>
        <w:rPr>
          <w:rFonts w:eastAsia="SimSun"/>
          <w:b/>
          <w:caps/>
          <w:kern w:val="28"/>
          <w:szCs w:val="22"/>
        </w:rPr>
      </w:pPr>
    </w:p>
    <w:tbl>
      <w:tblPr>
        <w:tblW w:w="9805"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9805"/>
      </w:tblGrid>
      <w:tr w:rsidR="002F6D01" w:rsidRPr="00607F73" w14:paraId="7E6D6CB9" w14:textId="77777777" w:rsidTr="00543F68">
        <w:trPr>
          <w:jc w:val="center"/>
        </w:trPr>
        <w:tc>
          <w:tcPr>
            <w:tcW w:w="9805" w:type="dxa"/>
          </w:tcPr>
          <w:p w14:paraId="26DEED4D" w14:textId="77777777" w:rsidR="002F6D01" w:rsidRPr="00607F73" w:rsidRDefault="002F6D01" w:rsidP="00543F68">
            <w:pPr>
              <w:autoSpaceDE w:val="0"/>
              <w:autoSpaceDN w:val="0"/>
              <w:adjustRightInd w:val="0"/>
              <w:spacing w:after="120"/>
              <w:jc w:val="left"/>
              <w:rPr>
                <w:rFonts w:eastAsia="SimSun"/>
                <w:bCs/>
                <w:sz w:val="20"/>
              </w:rPr>
            </w:pPr>
            <w:r w:rsidRPr="00607F73">
              <w:rPr>
                <w:rFonts w:eastAsia="SimSun" w:cs="Arial"/>
                <w:b/>
                <w:bCs/>
                <w:sz w:val="20"/>
              </w:rPr>
              <w:t>Country’s Overarching Development Objective</w:t>
            </w:r>
          </w:p>
          <w:p w14:paraId="51427ACA" w14:textId="77777777" w:rsidR="002F6D01" w:rsidRPr="00607F73" w:rsidRDefault="002F6D01" w:rsidP="00543F68">
            <w:pPr>
              <w:autoSpaceDE w:val="0"/>
              <w:autoSpaceDN w:val="0"/>
              <w:adjustRightInd w:val="0"/>
              <w:spacing w:after="120"/>
              <w:rPr>
                <w:rFonts w:eastAsia="SimSun"/>
                <w:bCs/>
                <w:sz w:val="20"/>
                <w:vertAlign w:val="superscript"/>
              </w:rPr>
            </w:pPr>
            <w:r w:rsidRPr="00607F73">
              <w:rPr>
                <w:rFonts w:eastAsia="SimSun"/>
                <w:bCs/>
                <w:sz w:val="20"/>
              </w:rPr>
              <w:t>Health and economic impacts of COVID-19 in Georgia are mitigated, protecting the most vulnerable</w:t>
            </w:r>
          </w:p>
        </w:tc>
      </w:tr>
    </w:tbl>
    <w:p w14:paraId="46F0F123" w14:textId="77777777" w:rsidR="002F6D01" w:rsidRPr="00607F73" w:rsidRDefault="002F6D01" w:rsidP="002F6D01">
      <w:pPr>
        <w:jc w:val="left"/>
        <w:rPr>
          <w:rFonts w:eastAsiaTheme="minorEastAsia"/>
          <w:b/>
          <w:sz w:val="2"/>
          <w:szCs w:val="2"/>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5"/>
        <w:gridCol w:w="3170"/>
        <w:gridCol w:w="2157"/>
        <w:gridCol w:w="2167"/>
      </w:tblGrid>
      <w:tr w:rsidR="002F6D01" w:rsidRPr="00607F73" w14:paraId="63830C48" w14:textId="77777777" w:rsidTr="00543F68">
        <w:trPr>
          <w:tblHeader/>
          <w:jc w:val="center"/>
        </w:trPr>
        <w:tc>
          <w:tcPr>
            <w:tcW w:w="2315" w:type="dxa"/>
            <w:tcBorders>
              <w:bottom w:val="single" w:sz="4" w:space="0" w:color="auto"/>
            </w:tcBorders>
            <w:vAlign w:val="bottom"/>
          </w:tcPr>
          <w:p w14:paraId="245FB657" w14:textId="77777777" w:rsidR="002F6D01" w:rsidRPr="00607F73" w:rsidRDefault="002F6D01" w:rsidP="00543F68">
            <w:pPr>
              <w:jc w:val="left"/>
              <w:rPr>
                <w:rFonts w:eastAsiaTheme="minorEastAsia" w:cs="Arial"/>
                <w:sz w:val="20"/>
              </w:rPr>
            </w:pPr>
            <w:r w:rsidRPr="00607F73">
              <w:rPr>
                <w:rFonts w:eastAsiaTheme="minorEastAsia" w:cs="Arial"/>
                <w:b/>
                <w:sz w:val="20"/>
              </w:rPr>
              <w:t>Results Chain</w:t>
            </w:r>
          </w:p>
        </w:tc>
        <w:tc>
          <w:tcPr>
            <w:tcW w:w="3170" w:type="dxa"/>
            <w:tcBorders>
              <w:bottom w:val="single" w:sz="4" w:space="0" w:color="auto"/>
            </w:tcBorders>
            <w:vAlign w:val="bottom"/>
          </w:tcPr>
          <w:p w14:paraId="06E2ED4B" w14:textId="77777777" w:rsidR="002F6D01" w:rsidRPr="00607F73" w:rsidRDefault="002F6D01" w:rsidP="00543F68">
            <w:pPr>
              <w:autoSpaceDE w:val="0"/>
              <w:autoSpaceDN w:val="0"/>
              <w:adjustRightInd w:val="0"/>
              <w:ind w:left="-99" w:right="-108"/>
              <w:jc w:val="center"/>
              <w:rPr>
                <w:rFonts w:eastAsiaTheme="minorEastAsia" w:cs="Arial"/>
                <w:sz w:val="20"/>
              </w:rPr>
            </w:pPr>
            <w:r w:rsidRPr="00607F73">
              <w:rPr>
                <w:rFonts w:eastAsiaTheme="minorEastAsia" w:cs="Arial"/>
                <w:b/>
                <w:sz w:val="20"/>
              </w:rPr>
              <w:t>Performance Indicators with Targets and Baselines</w:t>
            </w:r>
          </w:p>
        </w:tc>
        <w:tc>
          <w:tcPr>
            <w:tcW w:w="2157" w:type="dxa"/>
            <w:tcBorders>
              <w:bottom w:val="single" w:sz="4" w:space="0" w:color="auto"/>
            </w:tcBorders>
            <w:vAlign w:val="bottom"/>
          </w:tcPr>
          <w:p w14:paraId="4AB606E0" w14:textId="77777777" w:rsidR="002F6D01" w:rsidRPr="00607F73" w:rsidRDefault="002F6D01" w:rsidP="00543F68">
            <w:pPr>
              <w:autoSpaceDE w:val="0"/>
              <w:autoSpaceDN w:val="0"/>
              <w:adjustRightInd w:val="0"/>
              <w:ind w:left="-108" w:right="-104"/>
              <w:jc w:val="center"/>
              <w:rPr>
                <w:rFonts w:eastAsiaTheme="minorEastAsia" w:cs="Arial"/>
                <w:b/>
                <w:sz w:val="20"/>
              </w:rPr>
            </w:pPr>
            <w:r w:rsidRPr="00607F73">
              <w:rPr>
                <w:rFonts w:eastAsiaTheme="minorEastAsia" w:cs="Arial"/>
                <w:b/>
                <w:sz w:val="20"/>
              </w:rPr>
              <w:t>Data Sources and Reporting Mechanisms</w:t>
            </w:r>
          </w:p>
        </w:tc>
        <w:tc>
          <w:tcPr>
            <w:tcW w:w="2167" w:type="dxa"/>
            <w:tcBorders>
              <w:bottom w:val="single" w:sz="4" w:space="0" w:color="auto"/>
            </w:tcBorders>
            <w:vAlign w:val="bottom"/>
          </w:tcPr>
          <w:p w14:paraId="443294CB" w14:textId="77777777" w:rsidR="002F6D01" w:rsidRPr="00607F73" w:rsidRDefault="002F6D01" w:rsidP="00543F68">
            <w:pPr>
              <w:autoSpaceDE w:val="0"/>
              <w:autoSpaceDN w:val="0"/>
              <w:adjustRightInd w:val="0"/>
              <w:jc w:val="center"/>
              <w:rPr>
                <w:rFonts w:eastAsiaTheme="minorEastAsia" w:cs="Arial"/>
                <w:b/>
                <w:sz w:val="20"/>
              </w:rPr>
            </w:pPr>
            <w:r w:rsidRPr="00607F73">
              <w:rPr>
                <w:rFonts w:eastAsiaTheme="minorEastAsia" w:cs="Arial"/>
                <w:b/>
                <w:sz w:val="20"/>
              </w:rPr>
              <w:t>Risks</w:t>
            </w:r>
          </w:p>
        </w:tc>
      </w:tr>
      <w:tr w:rsidR="002F6D01" w:rsidRPr="00607F73" w14:paraId="6E279204" w14:textId="77777777" w:rsidTr="00543F68">
        <w:trPr>
          <w:trHeight w:val="1277"/>
          <w:jc w:val="center"/>
        </w:trPr>
        <w:tc>
          <w:tcPr>
            <w:tcW w:w="2315" w:type="dxa"/>
            <w:tcBorders>
              <w:top w:val="single" w:sz="4" w:space="0" w:color="auto"/>
              <w:left w:val="single" w:sz="4" w:space="0" w:color="auto"/>
              <w:bottom w:val="single" w:sz="4" w:space="0" w:color="auto"/>
              <w:right w:val="single" w:sz="4" w:space="0" w:color="auto"/>
            </w:tcBorders>
          </w:tcPr>
          <w:p w14:paraId="357B0C82" w14:textId="77777777" w:rsidR="002F6D01" w:rsidRPr="00607F73" w:rsidRDefault="002F6D01" w:rsidP="00543F68">
            <w:pPr>
              <w:autoSpaceDE w:val="0"/>
              <w:autoSpaceDN w:val="0"/>
              <w:adjustRightInd w:val="0"/>
              <w:jc w:val="left"/>
              <w:rPr>
                <w:rFonts w:eastAsiaTheme="minorEastAsia" w:cs="Arial"/>
                <w:b/>
                <w:sz w:val="20"/>
              </w:rPr>
            </w:pPr>
            <w:r w:rsidRPr="00607F73">
              <w:rPr>
                <w:rFonts w:eastAsiaTheme="minorEastAsia" w:cs="Arial"/>
                <w:b/>
                <w:sz w:val="20"/>
              </w:rPr>
              <w:t>Effect of the Program</w:t>
            </w:r>
          </w:p>
          <w:p w14:paraId="4C9BB5B6"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Rate of spread of the disease managed, burden affected private sector entities mitigated and</w:t>
            </w:r>
          </w:p>
          <w:p w14:paraId="0C96E2D5"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 xml:space="preserve">poverty </w:t>
            </w:r>
            <w:proofErr w:type="spellStart"/>
            <w:r w:rsidRPr="00607F73">
              <w:rPr>
                <w:rFonts w:eastAsiaTheme="minorEastAsia" w:cs="Arial"/>
                <w:bCs/>
                <w:sz w:val="20"/>
              </w:rPr>
              <w:t>contained.</w:t>
            </w:r>
            <w:r w:rsidRPr="00607F73">
              <w:rPr>
                <w:rFonts w:eastAsiaTheme="minorEastAsia" w:cs="Arial"/>
                <w:bCs/>
                <w:sz w:val="20"/>
                <w:vertAlign w:val="superscript"/>
              </w:rPr>
              <w:t>b</w:t>
            </w:r>
            <w:proofErr w:type="spellEnd"/>
          </w:p>
        </w:tc>
        <w:tc>
          <w:tcPr>
            <w:tcW w:w="3170" w:type="dxa"/>
            <w:tcBorders>
              <w:top w:val="single" w:sz="4" w:space="0" w:color="auto"/>
              <w:left w:val="single" w:sz="4" w:space="0" w:color="auto"/>
              <w:bottom w:val="single" w:sz="4" w:space="0" w:color="auto"/>
              <w:right w:val="single" w:sz="4" w:space="0" w:color="auto"/>
            </w:tcBorders>
          </w:tcPr>
          <w:p w14:paraId="1388C572" w14:textId="77777777" w:rsidR="002F6D01" w:rsidRPr="00607F73" w:rsidRDefault="002F6D01" w:rsidP="002F6D01">
            <w:pPr>
              <w:numPr>
                <w:ilvl w:val="0"/>
                <w:numId w:val="30"/>
              </w:numPr>
              <w:autoSpaceDE w:val="0"/>
              <w:autoSpaceDN w:val="0"/>
              <w:adjustRightInd w:val="0"/>
              <w:jc w:val="left"/>
              <w:rPr>
                <w:rFonts w:eastAsiaTheme="minorEastAsia" w:cs="Arial"/>
                <w:sz w:val="20"/>
                <w:lang w:eastAsia="ja-JP"/>
              </w:rPr>
            </w:pPr>
            <w:r w:rsidRPr="00607F73">
              <w:rPr>
                <w:rFonts w:eastAsiaTheme="minorEastAsia" w:cs="Arial"/>
                <w:sz w:val="20"/>
                <w:lang w:eastAsia="ja-JP"/>
              </w:rPr>
              <w:t>By December 2020, doubling rate of COVID-19 confirmed cases is reduced to 20 days or more (April 2020 baseline: every 10days)</w:t>
            </w:r>
          </w:p>
          <w:p w14:paraId="010B6582" w14:textId="77777777" w:rsidR="002F6D01" w:rsidRPr="00607F73" w:rsidRDefault="002F6D01" w:rsidP="00543F68">
            <w:pPr>
              <w:autoSpaceDE w:val="0"/>
              <w:autoSpaceDN w:val="0"/>
              <w:adjustRightInd w:val="0"/>
              <w:jc w:val="left"/>
              <w:rPr>
                <w:rFonts w:eastAsiaTheme="minorEastAsia" w:cs="Arial"/>
                <w:sz w:val="20"/>
                <w:lang w:eastAsia="ja-JP"/>
              </w:rPr>
            </w:pPr>
          </w:p>
          <w:p w14:paraId="2D41DD75" w14:textId="77777777" w:rsidR="002F6D01" w:rsidRPr="00607F73" w:rsidRDefault="002F6D01" w:rsidP="002F6D01">
            <w:pPr>
              <w:numPr>
                <w:ilvl w:val="0"/>
                <w:numId w:val="30"/>
              </w:numPr>
              <w:autoSpaceDE w:val="0"/>
              <w:autoSpaceDN w:val="0"/>
              <w:adjustRightInd w:val="0"/>
              <w:jc w:val="left"/>
              <w:rPr>
                <w:rFonts w:eastAsiaTheme="minorEastAsia" w:cs="Arial"/>
                <w:sz w:val="20"/>
                <w:lang w:eastAsia="ja-JP"/>
              </w:rPr>
            </w:pPr>
            <w:r w:rsidRPr="00607F73">
              <w:rPr>
                <w:rFonts w:eastAsiaTheme="minorEastAsia" w:cs="Arial"/>
                <w:sz w:val="20"/>
                <w:lang w:eastAsia="ja-JP"/>
              </w:rPr>
              <w:t>By September 2020, number of SME employees is retained at 62% of total employees in the business sector, 40% of which are women. (April 2020 baseline: 67% of workers hired in the business sector are employed by SMEs, 40% of which are women)</w:t>
            </w:r>
          </w:p>
          <w:p w14:paraId="52D991F1" w14:textId="77777777" w:rsidR="002F6D01" w:rsidRPr="00607F73" w:rsidRDefault="002F6D01" w:rsidP="00543F68">
            <w:pPr>
              <w:ind w:left="720"/>
              <w:jc w:val="left"/>
              <w:rPr>
                <w:rFonts w:eastAsiaTheme="minorEastAsia" w:cs="Arial"/>
                <w:sz w:val="20"/>
                <w:lang w:eastAsia="ja-JP"/>
              </w:rPr>
            </w:pPr>
          </w:p>
          <w:p w14:paraId="7FC0B7FB" w14:textId="77777777" w:rsidR="002F6D01" w:rsidRPr="00607F73" w:rsidRDefault="002F6D01" w:rsidP="002F6D01">
            <w:pPr>
              <w:numPr>
                <w:ilvl w:val="0"/>
                <w:numId w:val="30"/>
              </w:numPr>
              <w:autoSpaceDE w:val="0"/>
              <w:autoSpaceDN w:val="0"/>
              <w:adjustRightInd w:val="0"/>
              <w:jc w:val="left"/>
              <w:rPr>
                <w:rFonts w:eastAsiaTheme="minorEastAsia" w:cs="Arial"/>
                <w:sz w:val="20"/>
                <w:lang w:eastAsia="ja-JP"/>
              </w:rPr>
            </w:pPr>
            <w:r w:rsidRPr="00607F73">
              <w:rPr>
                <w:rFonts w:eastAsiaTheme="minorEastAsia" w:cs="Arial"/>
                <w:sz w:val="20"/>
                <w:lang w:eastAsia="ja-JP"/>
              </w:rPr>
              <w:t>By December 2020, the number of individuals scoring 0-65,000 by TSA PMT is retained at 120% of pre-crisis levels. Share of women remains at 55% of lower (April 2020 baseline: 389,000 individuals score between 0-65,000 in TSA PMT, 55% of which are women)</w:t>
            </w:r>
          </w:p>
        </w:tc>
        <w:tc>
          <w:tcPr>
            <w:tcW w:w="2157" w:type="dxa"/>
            <w:tcBorders>
              <w:top w:val="single" w:sz="4" w:space="0" w:color="auto"/>
              <w:left w:val="single" w:sz="4" w:space="0" w:color="auto"/>
              <w:bottom w:val="single" w:sz="4" w:space="0" w:color="auto"/>
              <w:right w:val="single" w:sz="4" w:space="0" w:color="auto"/>
            </w:tcBorders>
          </w:tcPr>
          <w:p w14:paraId="1F5F1039"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a. IACC and </w:t>
            </w:r>
            <w:proofErr w:type="spellStart"/>
            <w:r w:rsidRPr="00607F73">
              <w:rPr>
                <w:rFonts w:eastAsiaTheme="minorEastAsia" w:cs="Arial"/>
                <w:sz w:val="20"/>
              </w:rPr>
              <w:t>MoILHSA</w:t>
            </w:r>
            <w:proofErr w:type="spellEnd"/>
            <w:r w:rsidRPr="00607F73">
              <w:rPr>
                <w:rFonts w:eastAsiaTheme="minorEastAsia" w:cs="Arial"/>
                <w:sz w:val="20"/>
              </w:rPr>
              <w:t xml:space="preserve"> report submitted by September 2020</w:t>
            </w:r>
          </w:p>
          <w:p w14:paraId="1CFE0DE3" w14:textId="77777777" w:rsidR="002F6D01" w:rsidRPr="00607F73" w:rsidRDefault="002F6D01" w:rsidP="00543F68">
            <w:pPr>
              <w:autoSpaceDE w:val="0"/>
              <w:autoSpaceDN w:val="0"/>
              <w:adjustRightInd w:val="0"/>
              <w:jc w:val="left"/>
              <w:rPr>
                <w:rFonts w:eastAsiaTheme="minorEastAsia" w:cs="Arial"/>
                <w:sz w:val="20"/>
              </w:rPr>
            </w:pPr>
          </w:p>
          <w:p w14:paraId="59677343" w14:textId="77777777" w:rsidR="002F6D01" w:rsidRPr="00607F73" w:rsidRDefault="002F6D01" w:rsidP="00543F68">
            <w:pPr>
              <w:autoSpaceDE w:val="0"/>
              <w:autoSpaceDN w:val="0"/>
              <w:adjustRightInd w:val="0"/>
              <w:jc w:val="left"/>
              <w:rPr>
                <w:rFonts w:eastAsiaTheme="minorEastAsia" w:cs="Arial"/>
                <w:sz w:val="20"/>
              </w:rPr>
            </w:pPr>
          </w:p>
          <w:p w14:paraId="70BDBB36"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b. Report by the National Tax Registry submitted by September 2020.</w:t>
            </w:r>
          </w:p>
          <w:p w14:paraId="39C3F9B5" w14:textId="77777777" w:rsidR="002F6D01" w:rsidRPr="00607F73" w:rsidRDefault="002F6D01" w:rsidP="00543F68">
            <w:pPr>
              <w:autoSpaceDE w:val="0"/>
              <w:autoSpaceDN w:val="0"/>
              <w:adjustRightInd w:val="0"/>
              <w:jc w:val="left"/>
              <w:rPr>
                <w:rFonts w:eastAsiaTheme="minorEastAsia" w:cs="Arial"/>
                <w:sz w:val="20"/>
              </w:rPr>
            </w:pPr>
          </w:p>
          <w:p w14:paraId="2E4F6E98" w14:textId="77777777" w:rsidR="002F6D01" w:rsidRPr="00607F73" w:rsidRDefault="002F6D01" w:rsidP="00543F68">
            <w:pPr>
              <w:autoSpaceDE w:val="0"/>
              <w:autoSpaceDN w:val="0"/>
              <w:adjustRightInd w:val="0"/>
              <w:jc w:val="left"/>
              <w:rPr>
                <w:rFonts w:eastAsiaTheme="minorEastAsia" w:cs="Arial"/>
                <w:sz w:val="20"/>
              </w:rPr>
            </w:pPr>
          </w:p>
          <w:p w14:paraId="38528EE4" w14:textId="77777777" w:rsidR="002F6D01" w:rsidRPr="00607F73" w:rsidRDefault="002F6D01" w:rsidP="00543F68">
            <w:pPr>
              <w:autoSpaceDE w:val="0"/>
              <w:autoSpaceDN w:val="0"/>
              <w:adjustRightInd w:val="0"/>
              <w:jc w:val="left"/>
              <w:rPr>
                <w:rFonts w:eastAsiaTheme="minorEastAsia" w:cs="Arial"/>
                <w:sz w:val="20"/>
              </w:rPr>
            </w:pPr>
          </w:p>
          <w:p w14:paraId="52409A37" w14:textId="77777777" w:rsidR="002F6D01" w:rsidRPr="00607F73" w:rsidRDefault="002F6D01" w:rsidP="00543F68">
            <w:pPr>
              <w:autoSpaceDE w:val="0"/>
              <w:autoSpaceDN w:val="0"/>
              <w:adjustRightInd w:val="0"/>
              <w:jc w:val="left"/>
              <w:rPr>
                <w:rFonts w:eastAsiaTheme="minorEastAsia" w:cs="Arial"/>
                <w:sz w:val="20"/>
              </w:rPr>
            </w:pPr>
          </w:p>
          <w:p w14:paraId="13692492" w14:textId="77777777" w:rsidR="002F6D01" w:rsidRPr="00607F73" w:rsidRDefault="002F6D01" w:rsidP="00543F68">
            <w:pPr>
              <w:autoSpaceDE w:val="0"/>
              <w:autoSpaceDN w:val="0"/>
              <w:adjustRightInd w:val="0"/>
              <w:jc w:val="left"/>
              <w:rPr>
                <w:rFonts w:eastAsiaTheme="minorEastAsia" w:cs="Arial"/>
                <w:sz w:val="20"/>
              </w:rPr>
            </w:pPr>
          </w:p>
          <w:p w14:paraId="43ACC0CB" w14:textId="77777777" w:rsidR="002F6D01" w:rsidRPr="00607F73" w:rsidRDefault="002F6D01" w:rsidP="00543F68">
            <w:pPr>
              <w:autoSpaceDE w:val="0"/>
              <w:autoSpaceDN w:val="0"/>
              <w:adjustRightInd w:val="0"/>
              <w:jc w:val="left"/>
              <w:rPr>
                <w:rFonts w:eastAsiaTheme="minorEastAsia" w:cs="Arial"/>
                <w:sz w:val="20"/>
              </w:rPr>
            </w:pPr>
          </w:p>
          <w:p w14:paraId="556CF7B9" w14:textId="77777777" w:rsidR="002F6D01" w:rsidRPr="00607F73" w:rsidRDefault="002F6D01" w:rsidP="00543F68">
            <w:pPr>
              <w:autoSpaceDE w:val="0"/>
              <w:autoSpaceDN w:val="0"/>
              <w:adjustRightInd w:val="0"/>
              <w:jc w:val="left"/>
              <w:rPr>
                <w:rFonts w:eastAsiaTheme="minorEastAsia" w:cs="Arial"/>
                <w:color w:val="FF0000"/>
                <w:sz w:val="20"/>
              </w:rPr>
            </w:pPr>
            <w:r w:rsidRPr="00607F73">
              <w:rPr>
                <w:rFonts w:eastAsiaTheme="minorEastAsia" w:cs="Arial"/>
                <w:sz w:val="20"/>
              </w:rPr>
              <w:t xml:space="preserve">c. Report by </w:t>
            </w:r>
            <w:proofErr w:type="spellStart"/>
            <w:r w:rsidRPr="00607F73">
              <w:rPr>
                <w:rFonts w:eastAsiaTheme="minorEastAsia" w:cs="Arial"/>
                <w:sz w:val="20"/>
              </w:rPr>
              <w:t>MoLHSA</w:t>
            </w:r>
            <w:proofErr w:type="spellEnd"/>
            <w:r w:rsidRPr="00607F73">
              <w:rPr>
                <w:rFonts w:eastAsiaTheme="minorEastAsia" w:cs="Arial"/>
                <w:sz w:val="20"/>
              </w:rPr>
              <w:t xml:space="preserve"> submitted by September 2020.</w:t>
            </w:r>
          </w:p>
        </w:tc>
        <w:tc>
          <w:tcPr>
            <w:tcW w:w="2167" w:type="dxa"/>
            <w:tcBorders>
              <w:top w:val="single" w:sz="4" w:space="0" w:color="auto"/>
              <w:left w:val="single" w:sz="4" w:space="0" w:color="auto"/>
              <w:bottom w:val="single" w:sz="4" w:space="0" w:color="auto"/>
              <w:right w:val="single" w:sz="4" w:space="0" w:color="auto"/>
            </w:tcBorders>
          </w:tcPr>
          <w:p w14:paraId="50685517" w14:textId="77777777" w:rsidR="002F6D01" w:rsidRPr="00607F73" w:rsidRDefault="002F6D01" w:rsidP="00543F68">
            <w:pPr>
              <w:autoSpaceDE w:val="0"/>
              <w:autoSpaceDN w:val="0"/>
              <w:adjustRightInd w:val="0"/>
              <w:jc w:val="left"/>
              <w:rPr>
                <w:rFonts w:eastAsiaTheme="minorEastAsia" w:cs="Arial"/>
                <w:sz w:val="20"/>
              </w:rPr>
            </w:pPr>
          </w:p>
          <w:p w14:paraId="4D9527E0"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COVID-19 pandemic is not contained over 2-3 months leading to extension of State of Emergency and containment measures. </w:t>
            </w:r>
          </w:p>
        </w:tc>
      </w:tr>
      <w:tr w:rsidR="002F6D01" w:rsidRPr="00607F73" w14:paraId="345D4110" w14:textId="77777777" w:rsidTr="00543F68">
        <w:trPr>
          <w:trHeight w:val="1088"/>
          <w:jc w:val="center"/>
        </w:trPr>
        <w:tc>
          <w:tcPr>
            <w:tcW w:w="2315" w:type="dxa"/>
            <w:tcBorders>
              <w:top w:val="single" w:sz="4" w:space="0" w:color="auto"/>
              <w:left w:val="single" w:sz="4" w:space="0" w:color="auto"/>
              <w:bottom w:val="single" w:sz="4" w:space="0" w:color="auto"/>
              <w:right w:val="single" w:sz="4" w:space="0" w:color="auto"/>
            </w:tcBorders>
          </w:tcPr>
          <w:p w14:paraId="7F1994E4" w14:textId="77777777" w:rsidR="002F6D01" w:rsidRPr="00607F73" w:rsidRDefault="002F6D01" w:rsidP="00543F68">
            <w:pPr>
              <w:autoSpaceDE w:val="0"/>
              <w:autoSpaceDN w:val="0"/>
              <w:adjustRightInd w:val="0"/>
              <w:jc w:val="left"/>
              <w:rPr>
                <w:rFonts w:eastAsiaTheme="minorEastAsia" w:cs="Arial"/>
                <w:b/>
                <w:bCs/>
                <w:sz w:val="20"/>
              </w:rPr>
            </w:pPr>
            <w:r w:rsidRPr="00607F73">
              <w:rPr>
                <w:rFonts w:eastAsiaTheme="minorEastAsia" w:cs="Arial"/>
                <w:b/>
                <w:bCs/>
                <w:sz w:val="20"/>
              </w:rPr>
              <w:t>Outputs</w:t>
            </w:r>
          </w:p>
          <w:p w14:paraId="1371EF55" w14:textId="77777777" w:rsidR="002F6D01" w:rsidRPr="00607F73" w:rsidRDefault="002F6D01" w:rsidP="00543F68">
            <w:pPr>
              <w:autoSpaceDE w:val="0"/>
              <w:autoSpaceDN w:val="0"/>
              <w:adjustRightInd w:val="0"/>
              <w:jc w:val="left"/>
              <w:rPr>
                <w:rFonts w:eastAsiaTheme="minorEastAsia" w:cs="Arial"/>
                <w:b/>
                <w:sz w:val="20"/>
              </w:rPr>
            </w:pPr>
            <w:r w:rsidRPr="00607F73">
              <w:rPr>
                <w:rFonts w:eastAsiaTheme="minorEastAsia" w:cs="Arial"/>
                <w:sz w:val="20"/>
              </w:rPr>
              <w:t>1. Measures taken to combat the spread of COVID-19 and health sector response capacity strengthened.</w:t>
            </w:r>
          </w:p>
        </w:tc>
        <w:tc>
          <w:tcPr>
            <w:tcW w:w="3170" w:type="dxa"/>
            <w:tcBorders>
              <w:top w:val="single" w:sz="4" w:space="0" w:color="auto"/>
              <w:left w:val="single" w:sz="4" w:space="0" w:color="auto"/>
              <w:bottom w:val="single" w:sz="4" w:space="0" w:color="auto"/>
              <w:right w:val="single" w:sz="4" w:space="0" w:color="auto"/>
            </w:tcBorders>
          </w:tcPr>
          <w:p w14:paraId="14F75723" w14:textId="77777777" w:rsidR="002F6D01" w:rsidRPr="00607F73" w:rsidRDefault="002F6D01" w:rsidP="00543F68">
            <w:pPr>
              <w:autoSpaceDE w:val="0"/>
              <w:autoSpaceDN w:val="0"/>
              <w:adjustRightInd w:val="0"/>
              <w:jc w:val="left"/>
              <w:rPr>
                <w:rFonts w:eastAsiaTheme="minorEastAsia" w:cs="Arial"/>
                <w:b/>
                <w:sz w:val="20"/>
              </w:rPr>
            </w:pPr>
            <w:r w:rsidRPr="00607F73">
              <w:rPr>
                <w:rFonts w:eastAsiaTheme="minorEastAsia" w:cs="Arial"/>
                <w:b/>
                <w:sz w:val="20"/>
              </w:rPr>
              <w:t>By December 2020:</w:t>
            </w:r>
          </w:p>
          <w:p w14:paraId="6FD6A996"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1.1 The government publishes  a COVID-19 dedicated webpage (</w:t>
            </w:r>
            <w:hyperlink r:id="rId14">
              <w:r w:rsidRPr="00607F73">
                <w:rPr>
                  <w:rFonts w:eastAsiaTheme="minorEastAsia" w:cs="Arial"/>
                  <w:color w:val="0000FF"/>
                  <w:sz w:val="20"/>
                  <w:u w:val="single"/>
                </w:rPr>
                <w:t>www.stopcov.ge</w:t>
              </w:r>
            </w:hyperlink>
            <w:r w:rsidRPr="00607F73">
              <w:rPr>
                <w:rFonts w:eastAsiaTheme="minorEastAsia" w:cs="Arial"/>
                <w:sz w:val="20"/>
              </w:rPr>
              <w:t>) which includes detailed information on the list of NPIs adopted by the government to keep the burden on the health system to a minimum. Website includes specific information regarding health protocols for pregnant persons, childbirth and breastfeeding during COVID-19.  (2019 baseline: no containment measures in place before 2020).</w:t>
            </w:r>
          </w:p>
          <w:p w14:paraId="1934D176" w14:textId="77777777" w:rsidR="002F6D01" w:rsidRPr="00607F73" w:rsidRDefault="002F6D01" w:rsidP="00543F68">
            <w:pPr>
              <w:autoSpaceDE w:val="0"/>
              <w:autoSpaceDN w:val="0"/>
              <w:adjustRightInd w:val="0"/>
              <w:jc w:val="left"/>
              <w:rPr>
                <w:rFonts w:eastAsiaTheme="minorEastAsia" w:cs="Arial"/>
                <w:sz w:val="20"/>
              </w:rPr>
            </w:pPr>
          </w:p>
          <w:p w14:paraId="1A5459FC"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1.2 COVID-19 related diagnosis and treatment costs are provided free of charge for people living below the official poverty line to avoid out of pocket payments related to COVID-19 (Baseline: no COVID-19 cases before 2020) </w:t>
            </w:r>
          </w:p>
          <w:p w14:paraId="310CE247" w14:textId="77777777" w:rsidR="002F6D01" w:rsidRPr="00607F73" w:rsidRDefault="002F6D01" w:rsidP="00543F68">
            <w:pPr>
              <w:autoSpaceDE w:val="0"/>
              <w:autoSpaceDN w:val="0"/>
              <w:adjustRightInd w:val="0"/>
              <w:jc w:val="left"/>
              <w:rPr>
                <w:rFonts w:eastAsiaTheme="minorEastAsia" w:cs="Arial"/>
                <w:sz w:val="20"/>
              </w:rPr>
            </w:pPr>
          </w:p>
          <w:p w14:paraId="56518D71"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1.3 MOF provides adequate personal protective equipment to all frontline health workers (in sizes suitable for both women and men), 62% of which are women. </w:t>
            </w:r>
            <w:r w:rsidRPr="00607F73">
              <w:rPr>
                <w:rFonts w:eastAsiaTheme="minorEastAsia" w:cs="Arial"/>
                <w:bCs/>
                <w:sz w:val="20"/>
                <w:vertAlign w:val="superscript"/>
              </w:rPr>
              <w:t>i</w:t>
            </w:r>
            <w:r w:rsidRPr="00607F73">
              <w:rPr>
                <w:rFonts w:eastAsiaTheme="minorEastAsia" w:cs="Arial"/>
                <w:sz w:val="20"/>
              </w:rPr>
              <w:t xml:space="preserve"> (April 2020 baseline: no CVOID-19 cases before 2020.</w:t>
            </w:r>
            <w:r w:rsidRPr="00607F73">
              <w:rPr>
                <w:rFonts w:eastAsiaTheme="minorEastAsia" w:cs="Arial"/>
                <w:bCs/>
                <w:sz w:val="20"/>
                <w:vertAlign w:val="superscript"/>
              </w:rPr>
              <w:t xml:space="preserve"> </w:t>
            </w:r>
          </w:p>
        </w:tc>
        <w:tc>
          <w:tcPr>
            <w:tcW w:w="2157" w:type="dxa"/>
            <w:tcBorders>
              <w:top w:val="single" w:sz="4" w:space="0" w:color="auto"/>
              <w:left w:val="single" w:sz="4" w:space="0" w:color="auto"/>
              <w:bottom w:val="single" w:sz="4" w:space="0" w:color="auto"/>
              <w:right w:val="single" w:sz="4" w:space="0" w:color="auto"/>
            </w:tcBorders>
          </w:tcPr>
          <w:p w14:paraId="11AC051D" w14:textId="77777777" w:rsidR="002F6D01" w:rsidRPr="00607F73" w:rsidRDefault="002F6D01" w:rsidP="00543F68">
            <w:pPr>
              <w:autoSpaceDE w:val="0"/>
              <w:autoSpaceDN w:val="0"/>
              <w:adjustRightInd w:val="0"/>
              <w:jc w:val="left"/>
              <w:rPr>
                <w:rFonts w:eastAsiaTheme="minorEastAsia" w:cs="Arial"/>
                <w:sz w:val="20"/>
              </w:rPr>
            </w:pPr>
          </w:p>
          <w:p w14:paraId="0F4CF3F1"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1.1 Government resolution on containment measures published and content disseminated through social media.</w:t>
            </w:r>
          </w:p>
          <w:p w14:paraId="16372631" w14:textId="77777777" w:rsidR="002F6D01" w:rsidRPr="00607F73" w:rsidRDefault="002F6D01" w:rsidP="00543F68">
            <w:pPr>
              <w:autoSpaceDE w:val="0"/>
              <w:autoSpaceDN w:val="0"/>
              <w:adjustRightInd w:val="0"/>
              <w:ind w:left="360"/>
              <w:jc w:val="left"/>
              <w:rPr>
                <w:rFonts w:eastAsiaTheme="minorEastAsia" w:cs="Arial"/>
                <w:sz w:val="20"/>
                <w:lang w:eastAsia="ja-JP"/>
              </w:rPr>
            </w:pPr>
          </w:p>
          <w:p w14:paraId="5CC0DDC5" w14:textId="77777777" w:rsidR="002F6D01" w:rsidRPr="00607F73" w:rsidRDefault="002F6D01" w:rsidP="00543F68">
            <w:pPr>
              <w:autoSpaceDE w:val="0"/>
              <w:autoSpaceDN w:val="0"/>
              <w:adjustRightInd w:val="0"/>
              <w:ind w:left="360"/>
              <w:jc w:val="left"/>
              <w:rPr>
                <w:rFonts w:eastAsiaTheme="minorEastAsia" w:cs="Arial"/>
                <w:sz w:val="20"/>
                <w:lang w:eastAsia="ja-JP"/>
              </w:rPr>
            </w:pPr>
          </w:p>
          <w:p w14:paraId="6E08C2B4" w14:textId="77777777" w:rsidR="002F6D01" w:rsidRPr="00607F73" w:rsidRDefault="002F6D01" w:rsidP="00543F68">
            <w:pPr>
              <w:autoSpaceDE w:val="0"/>
              <w:autoSpaceDN w:val="0"/>
              <w:adjustRightInd w:val="0"/>
              <w:rPr>
                <w:rFonts w:eastAsiaTheme="minorEastAsia" w:cs="Arial"/>
                <w:sz w:val="20"/>
              </w:rPr>
            </w:pPr>
          </w:p>
          <w:p w14:paraId="6122620F" w14:textId="77777777" w:rsidR="002F6D01" w:rsidRPr="00607F73" w:rsidRDefault="002F6D01" w:rsidP="00543F68">
            <w:pPr>
              <w:autoSpaceDE w:val="0"/>
              <w:autoSpaceDN w:val="0"/>
              <w:adjustRightInd w:val="0"/>
              <w:jc w:val="left"/>
              <w:rPr>
                <w:rFonts w:eastAsiaTheme="minorEastAsia" w:cs="Arial"/>
                <w:sz w:val="20"/>
              </w:rPr>
            </w:pPr>
          </w:p>
          <w:p w14:paraId="7F18BE39" w14:textId="77777777" w:rsidR="002F6D01" w:rsidRPr="00607F73" w:rsidRDefault="002F6D01" w:rsidP="00543F68">
            <w:pPr>
              <w:autoSpaceDE w:val="0"/>
              <w:autoSpaceDN w:val="0"/>
              <w:adjustRightInd w:val="0"/>
              <w:jc w:val="left"/>
              <w:rPr>
                <w:rFonts w:eastAsiaTheme="minorEastAsia" w:cs="Arial"/>
                <w:sz w:val="20"/>
              </w:rPr>
            </w:pPr>
          </w:p>
          <w:p w14:paraId="73469CAC" w14:textId="77777777" w:rsidR="002F6D01" w:rsidRPr="00607F73" w:rsidRDefault="002F6D01" w:rsidP="00543F68">
            <w:pPr>
              <w:autoSpaceDE w:val="0"/>
              <w:autoSpaceDN w:val="0"/>
              <w:adjustRightInd w:val="0"/>
              <w:jc w:val="left"/>
              <w:rPr>
                <w:rFonts w:eastAsiaTheme="minorEastAsia" w:cs="Arial"/>
                <w:sz w:val="20"/>
              </w:rPr>
            </w:pPr>
          </w:p>
          <w:p w14:paraId="76F55802" w14:textId="77777777" w:rsidR="002F6D01" w:rsidRPr="00607F73" w:rsidRDefault="002F6D01" w:rsidP="00543F68">
            <w:pPr>
              <w:autoSpaceDE w:val="0"/>
              <w:autoSpaceDN w:val="0"/>
              <w:adjustRightInd w:val="0"/>
              <w:jc w:val="left"/>
              <w:rPr>
                <w:rFonts w:eastAsiaTheme="minorEastAsia" w:cs="Arial"/>
                <w:sz w:val="20"/>
              </w:rPr>
            </w:pPr>
          </w:p>
          <w:p w14:paraId="3D3E49BA"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1.2 Quarterly </w:t>
            </w:r>
            <w:proofErr w:type="spellStart"/>
            <w:r w:rsidRPr="00607F73">
              <w:rPr>
                <w:rFonts w:eastAsiaTheme="minorEastAsia" w:cs="Arial"/>
                <w:sz w:val="20"/>
              </w:rPr>
              <w:t>MoILHSA</w:t>
            </w:r>
            <w:proofErr w:type="spellEnd"/>
            <w:r w:rsidRPr="00607F73">
              <w:rPr>
                <w:rFonts w:eastAsiaTheme="minorEastAsia" w:cs="Arial"/>
                <w:sz w:val="20"/>
              </w:rPr>
              <w:t xml:space="preserve"> report</w:t>
            </w:r>
          </w:p>
          <w:p w14:paraId="199F27EF" w14:textId="77777777" w:rsidR="002F6D01" w:rsidRPr="00607F73" w:rsidRDefault="002F6D01" w:rsidP="00543F68">
            <w:pPr>
              <w:autoSpaceDE w:val="0"/>
              <w:autoSpaceDN w:val="0"/>
              <w:adjustRightInd w:val="0"/>
              <w:jc w:val="left"/>
              <w:rPr>
                <w:rFonts w:eastAsiaTheme="minorEastAsia" w:cs="Arial"/>
                <w:sz w:val="20"/>
              </w:rPr>
            </w:pPr>
          </w:p>
          <w:p w14:paraId="09CBBA9E" w14:textId="77777777" w:rsidR="002F6D01" w:rsidRPr="00607F73" w:rsidRDefault="002F6D01" w:rsidP="00543F68">
            <w:pPr>
              <w:autoSpaceDE w:val="0"/>
              <w:autoSpaceDN w:val="0"/>
              <w:adjustRightInd w:val="0"/>
              <w:jc w:val="left"/>
              <w:rPr>
                <w:rFonts w:eastAsiaTheme="minorEastAsia" w:cs="Arial"/>
                <w:sz w:val="20"/>
              </w:rPr>
            </w:pPr>
          </w:p>
          <w:p w14:paraId="67C2FB1D" w14:textId="77777777" w:rsidR="002F6D01" w:rsidRPr="00607F73" w:rsidRDefault="002F6D01" w:rsidP="00543F68">
            <w:pPr>
              <w:autoSpaceDE w:val="0"/>
              <w:autoSpaceDN w:val="0"/>
              <w:adjustRightInd w:val="0"/>
              <w:jc w:val="left"/>
              <w:rPr>
                <w:rFonts w:eastAsiaTheme="minorEastAsia" w:cs="Arial"/>
                <w:sz w:val="20"/>
              </w:rPr>
            </w:pPr>
          </w:p>
          <w:p w14:paraId="3E287ED2" w14:textId="77777777" w:rsidR="002F6D01" w:rsidRPr="00607F73" w:rsidRDefault="002F6D01" w:rsidP="00543F68">
            <w:pPr>
              <w:autoSpaceDE w:val="0"/>
              <w:autoSpaceDN w:val="0"/>
              <w:adjustRightInd w:val="0"/>
              <w:jc w:val="left"/>
              <w:rPr>
                <w:rFonts w:eastAsiaTheme="minorEastAsia" w:cs="Arial"/>
                <w:sz w:val="20"/>
              </w:rPr>
            </w:pPr>
          </w:p>
          <w:p w14:paraId="32961EB9" w14:textId="77777777" w:rsidR="002F6D01" w:rsidRPr="00607F73" w:rsidRDefault="002F6D01" w:rsidP="00543F68">
            <w:pPr>
              <w:autoSpaceDE w:val="0"/>
              <w:autoSpaceDN w:val="0"/>
              <w:adjustRightInd w:val="0"/>
              <w:jc w:val="left"/>
              <w:rPr>
                <w:rFonts w:eastAsiaTheme="minorEastAsia" w:cs="Arial"/>
                <w:sz w:val="20"/>
              </w:rPr>
            </w:pPr>
          </w:p>
          <w:p w14:paraId="44257048" w14:textId="77777777" w:rsidR="002F6D01" w:rsidRPr="00607F73" w:rsidRDefault="002F6D01" w:rsidP="00543F68">
            <w:pPr>
              <w:autoSpaceDE w:val="0"/>
              <w:autoSpaceDN w:val="0"/>
              <w:adjustRightInd w:val="0"/>
              <w:jc w:val="left"/>
              <w:rPr>
                <w:rFonts w:eastAsiaTheme="minorEastAsia" w:cs="Arial"/>
                <w:sz w:val="20"/>
              </w:rPr>
            </w:pPr>
          </w:p>
          <w:p w14:paraId="6B514229" w14:textId="77777777" w:rsidR="002F6D01" w:rsidRPr="00607F73" w:rsidRDefault="002F6D01" w:rsidP="00543F68">
            <w:pPr>
              <w:autoSpaceDE w:val="0"/>
              <w:autoSpaceDN w:val="0"/>
              <w:adjustRightInd w:val="0"/>
              <w:jc w:val="left"/>
              <w:rPr>
                <w:rFonts w:eastAsiaTheme="minorEastAsia" w:cs="Arial"/>
                <w:sz w:val="20"/>
              </w:rPr>
            </w:pPr>
          </w:p>
          <w:p w14:paraId="27640E17"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1.3 Sex disaggregated report on the number of health workers provided with PPE submitted to MOF by December 2020.</w:t>
            </w:r>
          </w:p>
        </w:tc>
        <w:tc>
          <w:tcPr>
            <w:tcW w:w="2167" w:type="dxa"/>
            <w:tcBorders>
              <w:top w:val="single" w:sz="4" w:space="0" w:color="auto"/>
              <w:left w:val="single" w:sz="4" w:space="0" w:color="auto"/>
              <w:bottom w:val="single" w:sz="4" w:space="0" w:color="auto"/>
              <w:right w:val="single" w:sz="4" w:space="0" w:color="auto"/>
            </w:tcBorders>
          </w:tcPr>
          <w:p w14:paraId="447D511C" w14:textId="77777777" w:rsidR="002F6D01" w:rsidRPr="00607F73" w:rsidRDefault="002F6D01" w:rsidP="00543F68">
            <w:pPr>
              <w:autoSpaceDE w:val="0"/>
              <w:autoSpaceDN w:val="0"/>
              <w:adjustRightInd w:val="0"/>
              <w:jc w:val="left"/>
              <w:rPr>
                <w:rFonts w:eastAsiaTheme="minorEastAsia" w:cs="Arial"/>
                <w:sz w:val="20"/>
              </w:rPr>
            </w:pPr>
          </w:p>
          <w:p w14:paraId="169D8753" w14:textId="77777777" w:rsidR="002F6D01" w:rsidRPr="00607F73" w:rsidRDefault="002F6D01" w:rsidP="00543F68">
            <w:pPr>
              <w:autoSpaceDE w:val="0"/>
              <w:autoSpaceDN w:val="0"/>
              <w:adjustRightInd w:val="0"/>
              <w:jc w:val="left"/>
              <w:rPr>
                <w:rFonts w:eastAsiaTheme="minorEastAsia" w:cs="Arial"/>
                <w:sz w:val="20"/>
              </w:rPr>
            </w:pPr>
            <w:r w:rsidRPr="00607F73">
              <w:rPr>
                <w:rFonts w:eastAsia="SimSun" w:cs="Arial"/>
                <w:sz w:val="20"/>
              </w:rPr>
              <w:t>Ineffective coordination across government agencies and insufficient capacity may negatively affect planned health and socio-economic responses during crisis.</w:t>
            </w:r>
          </w:p>
        </w:tc>
      </w:tr>
      <w:tr w:rsidR="002F6D01" w:rsidRPr="00607F73" w14:paraId="07BDD31B" w14:textId="77777777" w:rsidTr="00543F68">
        <w:trPr>
          <w:trHeight w:val="1277"/>
          <w:jc w:val="center"/>
        </w:trPr>
        <w:tc>
          <w:tcPr>
            <w:tcW w:w="2315" w:type="dxa"/>
            <w:tcBorders>
              <w:top w:val="single" w:sz="4" w:space="0" w:color="auto"/>
              <w:left w:val="single" w:sz="4" w:space="0" w:color="auto"/>
              <w:bottom w:val="single" w:sz="4" w:space="0" w:color="auto"/>
              <w:right w:val="single" w:sz="4" w:space="0" w:color="auto"/>
            </w:tcBorders>
          </w:tcPr>
          <w:p w14:paraId="7895C858" w14:textId="77777777" w:rsidR="002F6D01" w:rsidRPr="00607F73" w:rsidRDefault="002F6D01" w:rsidP="00543F68">
            <w:pPr>
              <w:autoSpaceDE w:val="0"/>
              <w:autoSpaceDN w:val="0"/>
              <w:adjustRightInd w:val="0"/>
              <w:jc w:val="left"/>
              <w:rPr>
                <w:rFonts w:eastAsiaTheme="minorEastAsia" w:cs="Arial"/>
                <w:b/>
                <w:sz w:val="20"/>
              </w:rPr>
            </w:pPr>
            <w:r w:rsidRPr="00607F73">
              <w:rPr>
                <w:rFonts w:eastAsiaTheme="minorEastAsia" w:cs="Arial"/>
                <w:bCs/>
                <w:sz w:val="20"/>
              </w:rPr>
              <w:t xml:space="preserve">2. Affected private sector entities assisted </w:t>
            </w:r>
          </w:p>
        </w:tc>
        <w:tc>
          <w:tcPr>
            <w:tcW w:w="3170" w:type="dxa"/>
            <w:tcBorders>
              <w:top w:val="single" w:sz="4" w:space="0" w:color="auto"/>
              <w:left w:val="single" w:sz="4" w:space="0" w:color="auto"/>
              <w:bottom w:val="single" w:sz="4" w:space="0" w:color="auto"/>
              <w:right w:val="single" w:sz="4" w:space="0" w:color="auto"/>
            </w:tcBorders>
          </w:tcPr>
          <w:p w14:paraId="2533C764"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2.1 At least 4,000 SMEs in the tourism industry have their property and income tax payments deferred until 1 November 2020. At least 40% of beneficiaries are women-owned businesses</w:t>
            </w:r>
            <w:bookmarkStart w:id="5" w:name="_Hlk39472037"/>
            <w:r w:rsidRPr="00607F73">
              <w:rPr>
                <w:rFonts w:eastAsiaTheme="minorEastAsia" w:cs="Arial"/>
                <w:bCs/>
                <w:sz w:val="20"/>
              </w:rPr>
              <w:t xml:space="preserve"> </w:t>
            </w:r>
            <w:r w:rsidRPr="00607F73">
              <w:rPr>
                <w:rFonts w:eastAsiaTheme="minorEastAsia" w:cs="Arial"/>
                <w:bCs/>
                <w:sz w:val="20"/>
                <w:vertAlign w:val="superscript"/>
              </w:rPr>
              <w:t>i</w:t>
            </w:r>
            <w:bookmarkEnd w:id="5"/>
            <w:r w:rsidRPr="00607F73">
              <w:rPr>
                <w:rFonts w:eastAsiaTheme="minorEastAsia" w:cs="Arial"/>
                <w:bCs/>
                <w:sz w:val="20"/>
              </w:rPr>
              <w:t xml:space="preserve"> (baseline: 0 firms provided with deferral on income and property tax payment)</w:t>
            </w:r>
          </w:p>
          <w:p w14:paraId="4E74FEB3" w14:textId="77777777" w:rsidR="002F6D01" w:rsidRPr="00607F73" w:rsidRDefault="002F6D01" w:rsidP="00543F68">
            <w:pPr>
              <w:autoSpaceDE w:val="0"/>
              <w:autoSpaceDN w:val="0"/>
              <w:adjustRightInd w:val="0"/>
              <w:jc w:val="left"/>
              <w:rPr>
                <w:rFonts w:eastAsiaTheme="minorEastAsia" w:cs="Arial"/>
                <w:bCs/>
                <w:sz w:val="20"/>
              </w:rPr>
            </w:pPr>
          </w:p>
          <w:p w14:paraId="795BFBC8"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 xml:space="preserve">2.2 At least 850 small and medium sized hotels benefit from subsidization of 80% of bank loan interest payments for six months. At least 40% of beneficiaries are women-owned small and medium sized hotels </w:t>
            </w:r>
            <w:r w:rsidRPr="00607F73">
              <w:rPr>
                <w:rFonts w:eastAsiaTheme="minorEastAsia" w:cs="Arial"/>
                <w:bCs/>
                <w:sz w:val="20"/>
                <w:vertAlign w:val="superscript"/>
              </w:rPr>
              <w:t>c</w:t>
            </w:r>
            <w:r w:rsidRPr="00607F73">
              <w:rPr>
                <w:rFonts w:eastAsiaTheme="minorEastAsia" w:cs="Arial"/>
                <w:bCs/>
                <w:sz w:val="20"/>
              </w:rPr>
              <w:t>. (April 2020 baseline: subsidies for interest payment were not provided)</w:t>
            </w:r>
          </w:p>
          <w:p w14:paraId="58D710EE" w14:textId="77777777" w:rsidR="002F6D01" w:rsidRPr="00607F73" w:rsidRDefault="002F6D01" w:rsidP="00543F68">
            <w:pPr>
              <w:autoSpaceDE w:val="0"/>
              <w:autoSpaceDN w:val="0"/>
              <w:adjustRightInd w:val="0"/>
              <w:jc w:val="left"/>
              <w:rPr>
                <w:rFonts w:eastAsiaTheme="minorEastAsia" w:cs="Arial"/>
                <w:bCs/>
                <w:sz w:val="20"/>
              </w:rPr>
            </w:pPr>
          </w:p>
          <w:p w14:paraId="4DB15C3E"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2.3 At least 35,000 agriculture sector entrepreneurs benefit from exception from amelioration fees and write-offs of any existing arrears on such fees. (April 2020 baseline: amelioration fees were not waived)</w:t>
            </w:r>
          </w:p>
        </w:tc>
        <w:tc>
          <w:tcPr>
            <w:tcW w:w="2157" w:type="dxa"/>
            <w:tcBorders>
              <w:top w:val="single" w:sz="4" w:space="0" w:color="auto"/>
              <w:left w:val="single" w:sz="4" w:space="0" w:color="auto"/>
              <w:bottom w:val="single" w:sz="4" w:space="0" w:color="auto"/>
              <w:right w:val="single" w:sz="4" w:space="0" w:color="auto"/>
            </w:tcBorders>
          </w:tcPr>
          <w:p w14:paraId="282C91F0"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2.1 MOF sex-disaggregated report by December 2020</w:t>
            </w:r>
          </w:p>
          <w:p w14:paraId="50E76EBE" w14:textId="77777777" w:rsidR="002F6D01" w:rsidRPr="00607F73" w:rsidRDefault="002F6D01" w:rsidP="00543F68">
            <w:pPr>
              <w:autoSpaceDE w:val="0"/>
              <w:autoSpaceDN w:val="0"/>
              <w:adjustRightInd w:val="0"/>
              <w:jc w:val="left"/>
              <w:rPr>
                <w:rFonts w:eastAsiaTheme="minorEastAsia" w:cs="Arial"/>
                <w:sz w:val="20"/>
              </w:rPr>
            </w:pPr>
          </w:p>
          <w:p w14:paraId="59903E99" w14:textId="77777777" w:rsidR="002F6D01" w:rsidRPr="00607F73" w:rsidRDefault="002F6D01" w:rsidP="00543F68">
            <w:pPr>
              <w:autoSpaceDE w:val="0"/>
              <w:autoSpaceDN w:val="0"/>
              <w:adjustRightInd w:val="0"/>
              <w:jc w:val="left"/>
              <w:rPr>
                <w:rFonts w:eastAsiaTheme="minorEastAsia" w:cs="Arial"/>
                <w:sz w:val="20"/>
              </w:rPr>
            </w:pPr>
          </w:p>
          <w:p w14:paraId="0DBE49AE" w14:textId="77777777" w:rsidR="002F6D01" w:rsidRPr="00607F73" w:rsidRDefault="002F6D01" w:rsidP="00543F68">
            <w:pPr>
              <w:autoSpaceDE w:val="0"/>
              <w:autoSpaceDN w:val="0"/>
              <w:adjustRightInd w:val="0"/>
              <w:jc w:val="left"/>
              <w:rPr>
                <w:rFonts w:eastAsiaTheme="minorEastAsia" w:cs="Arial"/>
                <w:sz w:val="20"/>
              </w:rPr>
            </w:pPr>
          </w:p>
          <w:p w14:paraId="581D405F" w14:textId="77777777" w:rsidR="002F6D01" w:rsidRPr="00607F73" w:rsidRDefault="002F6D01" w:rsidP="00543F68">
            <w:pPr>
              <w:autoSpaceDE w:val="0"/>
              <w:autoSpaceDN w:val="0"/>
              <w:adjustRightInd w:val="0"/>
              <w:jc w:val="left"/>
              <w:rPr>
                <w:rFonts w:eastAsiaTheme="minorEastAsia" w:cs="Arial"/>
                <w:sz w:val="20"/>
              </w:rPr>
            </w:pPr>
          </w:p>
          <w:p w14:paraId="753B6422" w14:textId="77777777" w:rsidR="002F6D01" w:rsidRPr="00607F73" w:rsidRDefault="002F6D01" w:rsidP="00543F68">
            <w:pPr>
              <w:autoSpaceDE w:val="0"/>
              <w:autoSpaceDN w:val="0"/>
              <w:adjustRightInd w:val="0"/>
              <w:jc w:val="left"/>
              <w:rPr>
                <w:rFonts w:eastAsiaTheme="minorEastAsia" w:cs="Arial"/>
                <w:sz w:val="20"/>
              </w:rPr>
            </w:pPr>
          </w:p>
          <w:p w14:paraId="027D7493" w14:textId="77777777" w:rsidR="002F6D01" w:rsidRPr="00607F73" w:rsidRDefault="002F6D01" w:rsidP="00543F68">
            <w:pPr>
              <w:autoSpaceDE w:val="0"/>
              <w:autoSpaceDN w:val="0"/>
              <w:adjustRightInd w:val="0"/>
              <w:jc w:val="left"/>
              <w:rPr>
                <w:rFonts w:eastAsiaTheme="minorEastAsia" w:cs="Arial"/>
                <w:sz w:val="20"/>
              </w:rPr>
            </w:pPr>
          </w:p>
          <w:p w14:paraId="21EDE792" w14:textId="77777777" w:rsidR="002F6D01" w:rsidRPr="00607F73" w:rsidRDefault="002F6D01" w:rsidP="00543F68">
            <w:pPr>
              <w:autoSpaceDE w:val="0"/>
              <w:autoSpaceDN w:val="0"/>
              <w:adjustRightInd w:val="0"/>
              <w:jc w:val="left"/>
              <w:rPr>
                <w:rFonts w:eastAsiaTheme="minorEastAsia" w:cs="Arial"/>
                <w:sz w:val="20"/>
              </w:rPr>
            </w:pPr>
          </w:p>
          <w:p w14:paraId="3ED9A069"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2.2 MOF sex-disaggregated report submitted by December 2020 </w:t>
            </w:r>
          </w:p>
          <w:p w14:paraId="3DEBBADB" w14:textId="77777777" w:rsidR="002F6D01" w:rsidRPr="00607F73" w:rsidRDefault="002F6D01" w:rsidP="00543F68">
            <w:pPr>
              <w:autoSpaceDE w:val="0"/>
              <w:autoSpaceDN w:val="0"/>
              <w:adjustRightInd w:val="0"/>
              <w:jc w:val="left"/>
              <w:rPr>
                <w:rFonts w:eastAsiaTheme="minorEastAsia" w:cs="Arial"/>
                <w:sz w:val="20"/>
              </w:rPr>
            </w:pPr>
          </w:p>
          <w:p w14:paraId="176C2DD1" w14:textId="77777777" w:rsidR="002F6D01" w:rsidRPr="00607F73" w:rsidRDefault="002F6D01" w:rsidP="00543F68">
            <w:pPr>
              <w:autoSpaceDE w:val="0"/>
              <w:autoSpaceDN w:val="0"/>
              <w:adjustRightInd w:val="0"/>
              <w:jc w:val="left"/>
              <w:rPr>
                <w:rFonts w:eastAsiaTheme="minorEastAsia" w:cs="Arial"/>
                <w:sz w:val="20"/>
              </w:rPr>
            </w:pPr>
          </w:p>
          <w:p w14:paraId="2C265EA1" w14:textId="77777777" w:rsidR="002F6D01" w:rsidRPr="00607F73" w:rsidRDefault="002F6D01" w:rsidP="00543F68">
            <w:pPr>
              <w:autoSpaceDE w:val="0"/>
              <w:autoSpaceDN w:val="0"/>
              <w:adjustRightInd w:val="0"/>
              <w:jc w:val="left"/>
              <w:rPr>
                <w:rFonts w:eastAsiaTheme="minorEastAsia" w:cs="Arial"/>
                <w:sz w:val="20"/>
              </w:rPr>
            </w:pPr>
          </w:p>
          <w:p w14:paraId="570906B3" w14:textId="77777777" w:rsidR="002F6D01" w:rsidRPr="00607F73" w:rsidRDefault="002F6D01" w:rsidP="00543F68">
            <w:pPr>
              <w:autoSpaceDE w:val="0"/>
              <w:autoSpaceDN w:val="0"/>
              <w:adjustRightInd w:val="0"/>
              <w:jc w:val="left"/>
              <w:rPr>
                <w:rFonts w:eastAsiaTheme="minorEastAsia" w:cs="Arial"/>
                <w:sz w:val="20"/>
              </w:rPr>
            </w:pPr>
          </w:p>
          <w:p w14:paraId="1052F46C" w14:textId="77777777" w:rsidR="002F6D01" w:rsidRPr="00607F73" w:rsidRDefault="002F6D01" w:rsidP="00543F68">
            <w:pPr>
              <w:autoSpaceDE w:val="0"/>
              <w:autoSpaceDN w:val="0"/>
              <w:adjustRightInd w:val="0"/>
              <w:jc w:val="left"/>
              <w:rPr>
                <w:rFonts w:eastAsiaTheme="minorEastAsia" w:cs="Arial"/>
                <w:sz w:val="20"/>
              </w:rPr>
            </w:pPr>
          </w:p>
          <w:p w14:paraId="59777C38" w14:textId="77777777" w:rsidR="002F6D01" w:rsidRPr="00607F73" w:rsidRDefault="002F6D01" w:rsidP="00543F68">
            <w:pPr>
              <w:autoSpaceDE w:val="0"/>
              <w:autoSpaceDN w:val="0"/>
              <w:adjustRightInd w:val="0"/>
              <w:jc w:val="left"/>
              <w:rPr>
                <w:rFonts w:eastAsiaTheme="minorEastAsia" w:cs="Arial"/>
                <w:sz w:val="20"/>
              </w:rPr>
            </w:pPr>
          </w:p>
          <w:p w14:paraId="57E557E5" w14:textId="77777777" w:rsidR="002F6D01" w:rsidRPr="00607F73" w:rsidRDefault="002F6D01" w:rsidP="00543F68">
            <w:pPr>
              <w:autoSpaceDE w:val="0"/>
              <w:autoSpaceDN w:val="0"/>
              <w:adjustRightInd w:val="0"/>
              <w:jc w:val="left"/>
              <w:rPr>
                <w:rFonts w:eastAsiaTheme="minorEastAsia" w:cs="Arial"/>
                <w:sz w:val="20"/>
              </w:rPr>
            </w:pPr>
          </w:p>
          <w:p w14:paraId="1469C715"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2.3 MOF sex-disaggregated report on number of beneficiaries from waivers of amelioration fees.</w:t>
            </w:r>
          </w:p>
        </w:tc>
        <w:tc>
          <w:tcPr>
            <w:tcW w:w="2167" w:type="dxa"/>
            <w:tcBorders>
              <w:top w:val="single" w:sz="4" w:space="0" w:color="auto"/>
              <w:left w:val="single" w:sz="4" w:space="0" w:color="auto"/>
              <w:bottom w:val="single" w:sz="4" w:space="0" w:color="auto"/>
              <w:right w:val="single" w:sz="4" w:space="0" w:color="auto"/>
            </w:tcBorders>
          </w:tcPr>
          <w:p w14:paraId="390730C5" w14:textId="77777777" w:rsidR="002F6D01" w:rsidRPr="00607F73" w:rsidRDefault="002F6D01" w:rsidP="00543F68">
            <w:pPr>
              <w:autoSpaceDE w:val="0"/>
              <w:autoSpaceDN w:val="0"/>
              <w:adjustRightInd w:val="0"/>
              <w:jc w:val="left"/>
              <w:rPr>
                <w:rFonts w:eastAsia="SimSun" w:cs="Arial"/>
                <w:sz w:val="20"/>
              </w:rPr>
            </w:pPr>
            <w:r w:rsidRPr="00607F73">
              <w:rPr>
                <w:rFonts w:eastAsia="SimSun" w:cs="Arial"/>
                <w:sz w:val="20"/>
              </w:rPr>
              <w:t>The government lacks the technical expertise for countercyclical expenditure package implementation, causing subdued benefits.</w:t>
            </w:r>
          </w:p>
          <w:p w14:paraId="63E6BB9F" w14:textId="77777777" w:rsidR="002F6D01" w:rsidRPr="00607F73" w:rsidRDefault="002F6D01" w:rsidP="00543F68">
            <w:pPr>
              <w:autoSpaceDE w:val="0"/>
              <w:autoSpaceDN w:val="0"/>
              <w:adjustRightInd w:val="0"/>
              <w:jc w:val="left"/>
              <w:rPr>
                <w:rFonts w:eastAsia="SimSun" w:cs="Arial"/>
                <w:sz w:val="20"/>
              </w:rPr>
            </w:pPr>
          </w:p>
          <w:p w14:paraId="25B8BC99" w14:textId="77777777" w:rsidR="002F6D01" w:rsidRPr="00607F73" w:rsidRDefault="002F6D01" w:rsidP="00543F68">
            <w:pPr>
              <w:jc w:val="left"/>
              <w:rPr>
                <w:rFonts w:eastAsia="SimSun" w:cs="Arial"/>
                <w:sz w:val="20"/>
              </w:rPr>
            </w:pPr>
            <w:r w:rsidRPr="00607F73">
              <w:rPr>
                <w:rFonts w:eastAsia="SimSun" w:cs="Arial"/>
                <w:sz w:val="20"/>
              </w:rPr>
              <w:t xml:space="preserve">Political Risk. Parliamentary elections are scheduled to be held in Georgia by October 2020. Changes in government may affect its commitment to reform measures envisaged under ADB support. </w:t>
            </w:r>
          </w:p>
          <w:p w14:paraId="3B27FA65"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 </w:t>
            </w:r>
          </w:p>
        </w:tc>
      </w:tr>
      <w:tr w:rsidR="002F6D01" w:rsidRPr="00607F73" w14:paraId="1A233A58" w14:textId="77777777" w:rsidTr="00543F68">
        <w:trPr>
          <w:trHeight w:val="512"/>
          <w:jc w:val="center"/>
        </w:trPr>
        <w:tc>
          <w:tcPr>
            <w:tcW w:w="2315" w:type="dxa"/>
            <w:tcBorders>
              <w:top w:val="single" w:sz="4" w:space="0" w:color="auto"/>
              <w:left w:val="single" w:sz="4" w:space="0" w:color="auto"/>
              <w:bottom w:val="single" w:sz="4" w:space="0" w:color="auto"/>
              <w:right w:val="single" w:sz="4" w:space="0" w:color="auto"/>
            </w:tcBorders>
          </w:tcPr>
          <w:p w14:paraId="18586131"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 xml:space="preserve">3. Enhanced livelihoods support for the most vulnerable segments of the population. </w:t>
            </w:r>
          </w:p>
        </w:tc>
        <w:tc>
          <w:tcPr>
            <w:tcW w:w="3170" w:type="dxa"/>
            <w:tcBorders>
              <w:top w:val="single" w:sz="4" w:space="0" w:color="auto"/>
              <w:left w:val="single" w:sz="4" w:space="0" w:color="auto"/>
              <w:bottom w:val="single" w:sz="4" w:space="0" w:color="auto"/>
              <w:right w:val="single" w:sz="4" w:space="0" w:color="auto"/>
            </w:tcBorders>
          </w:tcPr>
          <w:p w14:paraId="119558FD"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3.1 Employers are exempt from payment of income tax for the initial GEL750 for workers earning salaries up to GEL1500 for a period of 6 months, provided their jobs are retained. (April 2020 baseline: no income tax exemption was provided)</w:t>
            </w:r>
          </w:p>
          <w:p w14:paraId="2983A0A0" w14:textId="77777777" w:rsidR="002F6D01" w:rsidRPr="00607F73" w:rsidRDefault="002F6D01" w:rsidP="00543F68">
            <w:pPr>
              <w:autoSpaceDE w:val="0"/>
              <w:autoSpaceDN w:val="0"/>
              <w:adjustRightInd w:val="0"/>
              <w:jc w:val="left"/>
              <w:rPr>
                <w:rFonts w:eastAsiaTheme="minorEastAsia" w:cs="Arial"/>
                <w:bCs/>
                <w:sz w:val="20"/>
              </w:rPr>
            </w:pPr>
          </w:p>
          <w:p w14:paraId="39B5F53D"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3.2 Up to 350,000 workers who are laid off due to COVID-19 (temporarily or permanently) receive temporary unemployment assistance of GEL200 per month for a period of six months. (April 2020 baseline: severance pay limited to one month’s salary and borne by employer)</w:t>
            </w:r>
          </w:p>
          <w:p w14:paraId="148DFA35" w14:textId="77777777" w:rsidR="002F6D01" w:rsidRPr="00607F73" w:rsidRDefault="002F6D01" w:rsidP="00543F68">
            <w:pPr>
              <w:autoSpaceDE w:val="0"/>
              <w:autoSpaceDN w:val="0"/>
              <w:adjustRightInd w:val="0"/>
              <w:jc w:val="left"/>
              <w:rPr>
                <w:rFonts w:eastAsiaTheme="minorEastAsia" w:cs="Arial"/>
                <w:bCs/>
                <w:sz w:val="20"/>
              </w:rPr>
            </w:pPr>
          </w:p>
          <w:p w14:paraId="25C47CF3"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3.3 Up to 250,000 informal or self-employed workers who can demonstrate loss of income receive a one-time payment of GEL300. At least 50% of recipients are women.</w:t>
            </w:r>
            <w:r w:rsidRPr="00607F73">
              <w:rPr>
                <w:rFonts w:eastAsiaTheme="minorEastAsia" w:cs="Arial"/>
                <w:bCs/>
                <w:sz w:val="20"/>
                <w:vertAlign w:val="superscript"/>
              </w:rPr>
              <w:t xml:space="preserve"> i</w:t>
            </w:r>
            <w:r w:rsidRPr="00607F73">
              <w:rPr>
                <w:rFonts w:eastAsiaTheme="minorEastAsia" w:cs="Arial"/>
                <w:bCs/>
                <w:sz w:val="20"/>
              </w:rPr>
              <w:t xml:space="preserve"> (April 2020 baseline: no unemployment benefit program for informal workers in place)</w:t>
            </w:r>
          </w:p>
          <w:p w14:paraId="7DFA4ADE" w14:textId="77777777" w:rsidR="002F6D01" w:rsidRPr="00607F73" w:rsidRDefault="002F6D01" w:rsidP="00543F68">
            <w:pPr>
              <w:autoSpaceDE w:val="0"/>
              <w:autoSpaceDN w:val="0"/>
              <w:adjustRightInd w:val="0"/>
              <w:jc w:val="left"/>
              <w:rPr>
                <w:rFonts w:eastAsiaTheme="minorEastAsia" w:cs="Arial"/>
                <w:bCs/>
                <w:sz w:val="20"/>
              </w:rPr>
            </w:pPr>
          </w:p>
          <w:p w14:paraId="061729A0"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3.4 At least 41,500 persons, (including all women living with acute Group I disabilities and children living with disabilities), receive GEL200 per month for a period of six months. (April 2020 baseline: GEL180 per month is paid to 31,956 children and people living with Group I disability.)</w:t>
            </w:r>
          </w:p>
          <w:p w14:paraId="41A4A615" w14:textId="77777777" w:rsidR="002F6D01" w:rsidRPr="00607F73" w:rsidRDefault="002F6D01" w:rsidP="00543F68">
            <w:pPr>
              <w:autoSpaceDE w:val="0"/>
              <w:autoSpaceDN w:val="0"/>
              <w:adjustRightInd w:val="0"/>
              <w:jc w:val="left"/>
              <w:rPr>
                <w:rFonts w:eastAsiaTheme="minorEastAsia" w:cs="Arial"/>
                <w:bCs/>
                <w:sz w:val="20"/>
              </w:rPr>
            </w:pPr>
          </w:p>
          <w:p w14:paraId="64844DFE"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 xml:space="preserve">3.5 Shelf prices for at least 9 key food </w:t>
            </w:r>
            <w:proofErr w:type="spellStart"/>
            <w:r w:rsidRPr="00607F73">
              <w:rPr>
                <w:rFonts w:eastAsiaTheme="minorEastAsia" w:cs="Arial"/>
                <w:bCs/>
                <w:sz w:val="20"/>
              </w:rPr>
              <w:t>products</w:t>
            </w:r>
            <w:r w:rsidRPr="00607F73">
              <w:rPr>
                <w:rFonts w:eastAsiaTheme="minorEastAsia" w:cs="Arial"/>
                <w:bCs/>
                <w:sz w:val="20"/>
                <w:vertAlign w:val="superscript"/>
              </w:rPr>
              <w:t>d</w:t>
            </w:r>
            <w:proofErr w:type="spellEnd"/>
            <w:r w:rsidRPr="00607F73">
              <w:rPr>
                <w:rFonts w:eastAsiaTheme="minorEastAsia" w:cs="Arial"/>
                <w:bCs/>
                <w:sz w:val="20"/>
              </w:rPr>
              <w:t xml:space="preserve"> retained for a period of six months. (April 2020 baseline: no insurance against price increases in foodstuffs). </w:t>
            </w:r>
          </w:p>
          <w:p w14:paraId="42B0E55C" w14:textId="77777777" w:rsidR="002F6D01" w:rsidRPr="00607F73" w:rsidRDefault="002F6D01" w:rsidP="00543F68">
            <w:pPr>
              <w:autoSpaceDE w:val="0"/>
              <w:autoSpaceDN w:val="0"/>
              <w:adjustRightInd w:val="0"/>
              <w:jc w:val="left"/>
              <w:rPr>
                <w:rFonts w:eastAsiaTheme="minorEastAsia" w:cs="Arial"/>
                <w:bCs/>
                <w:sz w:val="20"/>
              </w:rPr>
            </w:pPr>
          </w:p>
          <w:p w14:paraId="175BDD54" w14:textId="77777777" w:rsidR="002F6D01" w:rsidRPr="00607F73" w:rsidRDefault="002F6D01" w:rsidP="00543F68">
            <w:pPr>
              <w:autoSpaceDE w:val="0"/>
              <w:autoSpaceDN w:val="0"/>
              <w:adjustRightInd w:val="0"/>
              <w:jc w:val="left"/>
              <w:rPr>
                <w:rFonts w:eastAsiaTheme="minorEastAsia" w:cs="Arial"/>
                <w:bCs/>
                <w:sz w:val="20"/>
              </w:rPr>
            </w:pPr>
            <w:r w:rsidRPr="00607F73">
              <w:rPr>
                <w:rFonts w:eastAsiaTheme="minorEastAsia" w:cs="Arial"/>
                <w:bCs/>
                <w:sz w:val="20"/>
              </w:rPr>
              <w:t>3.6 At least 1.2 million families benefit from subsidized utility bills for water, electricity and waste management for a period of up to three months. (April 2020 baseline: no program for subsidizing utility bills)</w:t>
            </w:r>
          </w:p>
        </w:tc>
        <w:tc>
          <w:tcPr>
            <w:tcW w:w="2157" w:type="dxa"/>
            <w:tcBorders>
              <w:top w:val="single" w:sz="4" w:space="0" w:color="auto"/>
              <w:left w:val="single" w:sz="4" w:space="0" w:color="auto"/>
              <w:bottom w:val="single" w:sz="4" w:space="0" w:color="auto"/>
              <w:right w:val="single" w:sz="4" w:space="0" w:color="auto"/>
            </w:tcBorders>
          </w:tcPr>
          <w:p w14:paraId="3A46B05D"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3.1 MOF sex-disaggregated report on beneficiaries submitted by December 2020 </w:t>
            </w:r>
          </w:p>
          <w:p w14:paraId="44E8B940" w14:textId="77777777" w:rsidR="002F6D01" w:rsidRPr="00607F73" w:rsidRDefault="002F6D01" w:rsidP="00543F68">
            <w:pPr>
              <w:autoSpaceDE w:val="0"/>
              <w:autoSpaceDN w:val="0"/>
              <w:adjustRightInd w:val="0"/>
              <w:jc w:val="left"/>
              <w:rPr>
                <w:rFonts w:eastAsiaTheme="minorEastAsia" w:cs="Arial"/>
                <w:sz w:val="20"/>
              </w:rPr>
            </w:pPr>
          </w:p>
          <w:p w14:paraId="2F17A172" w14:textId="77777777" w:rsidR="002F6D01" w:rsidRPr="00607F73" w:rsidRDefault="002F6D01" w:rsidP="00543F68">
            <w:pPr>
              <w:autoSpaceDE w:val="0"/>
              <w:autoSpaceDN w:val="0"/>
              <w:adjustRightInd w:val="0"/>
              <w:jc w:val="left"/>
              <w:rPr>
                <w:rFonts w:eastAsiaTheme="minorEastAsia" w:cs="Arial"/>
                <w:sz w:val="20"/>
              </w:rPr>
            </w:pPr>
          </w:p>
          <w:p w14:paraId="38995A0C" w14:textId="77777777" w:rsidR="002F6D01" w:rsidRPr="00607F73" w:rsidRDefault="002F6D01" w:rsidP="00543F68">
            <w:pPr>
              <w:autoSpaceDE w:val="0"/>
              <w:autoSpaceDN w:val="0"/>
              <w:adjustRightInd w:val="0"/>
              <w:jc w:val="left"/>
              <w:rPr>
                <w:rFonts w:eastAsiaTheme="minorEastAsia" w:cs="Arial"/>
                <w:sz w:val="20"/>
              </w:rPr>
            </w:pPr>
          </w:p>
          <w:p w14:paraId="6E204AB5" w14:textId="77777777" w:rsidR="002F6D01" w:rsidRPr="00607F73" w:rsidRDefault="002F6D01" w:rsidP="00543F68">
            <w:pPr>
              <w:autoSpaceDE w:val="0"/>
              <w:autoSpaceDN w:val="0"/>
              <w:adjustRightInd w:val="0"/>
              <w:jc w:val="left"/>
              <w:rPr>
                <w:rFonts w:eastAsiaTheme="minorEastAsia" w:cs="Arial"/>
                <w:sz w:val="20"/>
              </w:rPr>
            </w:pPr>
          </w:p>
          <w:p w14:paraId="67DF057A"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3.2 MOF submits sex-disaggregated report on number of beneficiaries by December 2020 </w:t>
            </w:r>
          </w:p>
          <w:p w14:paraId="71E1FFBF" w14:textId="77777777" w:rsidR="002F6D01" w:rsidRPr="00607F73" w:rsidRDefault="002F6D01" w:rsidP="00543F68">
            <w:pPr>
              <w:autoSpaceDE w:val="0"/>
              <w:autoSpaceDN w:val="0"/>
              <w:adjustRightInd w:val="0"/>
              <w:jc w:val="left"/>
              <w:rPr>
                <w:rFonts w:eastAsiaTheme="minorEastAsia" w:cs="Arial"/>
                <w:sz w:val="20"/>
              </w:rPr>
            </w:pPr>
          </w:p>
          <w:p w14:paraId="061D27D8" w14:textId="77777777" w:rsidR="002F6D01" w:rsidRPr="00607F73" w:rsidRDefault="002F6D01" w:rsidP="00543F68">
            <w:pPr>
              <w:autoSpaceDE w:val="0"/>
              <w:autoSpaceDN w:val="0"/>
              <w:adjustRightInd w:val="0"/>
              <w:jc w:val="left"/>
              <w:rPr>
                <w:rFonts w:eastAsiaTheme="minorEastAsia" w:cs="Arial"/>
                <w:sz w:val="20"/>
              </w:rPr>
            </w:pPr>
          </w:p>
          <w:p w14:paraId="278E3AD9" w14:textId="77777777" w:rsidR="002F6D01" w:rsidRPr="00607F73" w:rsidRDefault="002F6D01" w:rsidP="00543F68">
            <w:pPr>
              <w:autoSpaceDE w:val="0"/>
              <w:autoSpaceDN w:val="0"/>
              <w:adjustRightInd w:val="0"/>
              <w:jc w:val="left"/>
              <w:rPr>
                <w:rFonts w:eastAsiaTheme="minorEastAsia" w:cs="Arial"/>
                <w:sz w:val="20"/>
              </w:rPr>
            </w:pPr>
          </w:p>
          <w:p w14:paraId="16746536" w14:textId="77777777" w:rsidR="002F6D01" w:rsidRPr="00607F73" w:rsidRDefault="002F6D01" w:rsidP="00543F68">
            <w:pPr>
              <w:autoSpaceDE w:val="0"/>
              <w:autoSpaceDN w:val="0"/>
              <w:adjustRightInd w:val="0"/>
              <w:jc w:val="left"/>
              <w:rPr>
                <w:rFonts w:eastAsiaTheme="minorEastAsia" w:cs="Arial"/>
                <w:sz w:val="20"/>
              </w:rPr>
            </w:pPr>
          </w:p>
          <w:p w14:paraId="0A5B7BF2" w14:textId="77777777" w:rsidR="002F6D01" w:rsidRPr="00607F73" w:rsidRDefault="002F6D01" w:rsidP="00543F68">
            <w:pPr>
              <w:autoSpaceDE w:val="0"/>
              <w:autoSpaceDN w:val="0"/>
              <w:adjustRightInd w:val="0"/>
              <w:jc w:val="left"/>
              <w:rPr>
                <w:rFonts w:eastAsiaTheme="minorEastAsia" w:cs="Arial"/>
                <w:sz w:val="20"/>
              </w:rPr>
            </w:pPr>
          </w:p>
          <w:p w14:paraId="72AEB6A5" w14:textId="77777777" w:rsidR="002F6D01" w:rsidRPr="00607F73" w:rsidRDefault="002F6D01" w:rsidP="00543F68">
            <w:pPr>
              <w:autoSpaceDE w:val="0"/>
              <w:autoSpaceDN w:val="0"/>
              <w:adjustRightInd w:val="0"/>
              <w:jc w:val="left"/>
              <w:rPr>
                <w:rFonts w:eastAsiaTheme="minorEastAsia" w:cs="Arial"/>
                <w:sz w:val="20"/>
              </w:rPr>
            </w:pPr>
          </w:p>
          <w:p w14:paraId="33A1DFF0" w14:textId="77777777" w:rsidR="002F6D01" w:rsidRPr="00607F73" w:rsidRDefault="002F6D01" w:rsidP="00543F68">
            <w:pPr>
              <w:autoSpaceDE w:val="0"/>
              <w:autoSpaceDN w:val="0"/>
              <w:adjustRightInd w:val="0"/>
              <w:jc w:val="left"/>
              <w:rPr>
                <w:rFonts w:eastAsiaTheme="minorEastAsia" w:cs="Arial"/>
                <w:sz w:val="20"/>
              </w:rPr>
            </w:pPr>
          </w:p>
          <w:p w14:paraId="6418C7BD"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3.3 MOF sex-disaggregated report on number of beneficiaries submitted by December 2020</w:t>
            </w:r>
          </w:p>
          <w:p w14:paraId="25B3776D" w14:textId="77777777" w:rsidR="002F6D01" w:rsidRPr="00607F73" w:rsidRDefault="002F6D01" w:rsidP="00543F68">
            <w:pPr>
              <w:autoSpaceDE w:val="0"/>
              <w:autoSpaceDN w:val="0"/>
              <w:adjustRightInd w:val="0"/>
              <w:jc w:val="left"/>
              <w:rPr>
                <w:rFonts w:eastAsiaTheme="minorEastAsia" w:cs="Arial"/>
                <w:sz w:val="20"/>
              </w:rPr>
            </w:pPr>
          </w:p>
          <w:p w14:paraId="70F95B4C" w14:textId="77777777" w:rsidR="002F6D01" w:rsidRPr="00607F73" w:rsidRDefault="002F6D01" w:rsidP="00543F68">
            <w:pPr>
              <w:autoSpaceDE w:val="0"/>
              <w:autoSpaceDN w:val="0"/>
              <w:adjustRightInd w:val="0"/>
              <w:jc w:val="left"/>
              <w:rPr>
                <w:rFonts w:eastAsiaTheme="minorEastAsia" w:cs="Arial"/>
                <w:sz w:val="20"/>
              </w:rPr>
            </w:pPr>
          </w:p>
          <w:p w14:paraId="2930767C" w14:textId="77777777" w:rsidR="002F6D01" w:rsidRPr="00607F73" w:rsidRDefault="002F6D01" w:rsidP="00543F68">
            <w:pPr>
              <w:autoSpaceDE w:val="0"/>
              <w:autoSpaceDN w:val="0"/>
              <w:adjustRightInd w:val="0"/>
              <w:jc w:val="left"/>
              <w:rPr>
                <w:rFonts w:eastAsiaTheme="minorEastAsia" w:cs="Arial"/>
                <w:sz w:val="20"/>
              </w:rPr>
            </w:pPr>
          </w:p>
          <w:p w14:paraId="433E40E6" w14:textId="77777777" w:rsidR="002F6D01" w:rsidRPr="00607F73" w:rsidRDefault="002F6D01" w:rsidP="00543F68">
            <w:pPr>
              <w:autoSpaceDE w:val="0"/>
              <w:autoSpaceDN w:val="0"/>
              <w:adjustRightInd w:val="0"/>
              <w:jc w:val="left"/>
              <w:rPr>
                <w:rFonts w:eastAsiaTheme="minorEastAsia" w:cs="Arial"/>
                <w:sz w:val="20"/>
              </w:rPr>
            </w:pPr>
          </w:p>
          <w:p w14:paraId="464C86D4"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3.4 MOF sex-disaggregated report is submitted by December 2020 </w:t>
            </w:r>
          </w:p>
          <w:p w14:paraId="00DD539A" w14:textId="77777777" w:rsidR="002F6D01" w:rsidRPr="00607F73" w:rsidRDefault="002F6D01" w:rsidP="00543F68">
            <w:pPr>
              <w:autoSpaceDE w:val="0"/>
              <w:autoSpaceDN w:val="0"/>
              <w:adjustRightInd w:val="0"/>
              <w:jc w:val="left"/>
              <w:rPr>
                <w:rFonts w:eastAsiaTheme="minorEastAsia" w:cs="Arial"/>
                <w:sz w:val="20"/>
              </w:rPr>
            </w:pPr>
          </w:p>
          <w:p w14:paraId="45DCF397" w14:textId="77777777" w:rsidR="002F6D01" w:rsidRPr="00607F73" w:rsidRDefault="002F6D01" w:rsidP="00543F68">
            <w:pPr>
              <w:autoSpaceDE w:val="0"/>
              <w:autoSpaceDN w:val="0"/>
              <w:adjustRightInd w:val="0"/>
              <w:jc w:val="left"/>
              <w:rPr>
                <w:rFonts w:eastAsiaTheme="minorEastAsia" w:cs="Arial"/>
                <w:sz w:val="20"/>
              </w:rPr>
            </w:pPr>
          </w:p>
          <w:p w14:paraId="4879CDFC" w14:textId="77777777" w:rsidR="002F6D01" w:rsidRPr="00607F73" w:rsidRDefault="002F6D01" w:rsidP="00543F68">
            <w:pPr>
              <w:autoSpaceDE w:val="0"/>
              <w:autoSpaceDN w:val="0"/>
              <w:adjustRightInd w:val="0"/>
              <w:jc w:val="left"/>
              <w:rPr>
                <w:rFonts w:eastAsiaTheme="minorEastAsia" w:cs="Arial"/>
                <w:sz w:val="20"/>
              </w:rPr>
            </w:pPr>
          </w:p>
          <w:p w14:paraId="03E01198" w14:textId="77777777" w:rsidR="002F6D01" w:rsidRPr="00607F73" w:rsidRDefault="002F6D01" w:rsidP="00543F68">
            <w:pPr>
              <w:autoSpaceDE w:val="0"/>
              <w:autoSpaceDN w:val="0"/>
              <w:adjustRightInd w:val="0"/>
              <w:jc w:val="left"/>
              <w:rPr>
                <w:rFonts w:eastAsiaTheme="minorEastAsia" w:cs="Arial"/>
                <w:sz w:val="20"/>
              </w:rPr>
            </w:pPr>
          </w:p>
          <w:p w14:paraId="460FADEA" w14:textId="77777777" w:rsidR="002F6D01" w:rsidRPr="00607F73" w:rsidRDefault="002F6D01" w:rsidP="00543F68">
            <w:pPr>
              <w:autoSpaceDE w:val="0"/>
              <w:autoSpaceDN w:val="0"/>
              <w:adjustRightInd w:val="0"/>
              <w:jc w:val="left"/>
              <w:rPr>
                <w:rFonts w:eastAsiaTheme="minorEastAsia" w:cs="Arial"/>
                <w:sz w:val="20"/>
              </w:rPr>
            </w:pPr>
          </w:p>
          <w:p w14:paraId="628FBE9A" w14:textId="77777777" w:rsidR="002F6D01" w:rsidRPr="00607F73" w:rsidRDefault="002F6D01" w:rsidP="00543F68">
            <w:pPr>
              <w:autoSpaceDE w:val="0"/>
              <w:autoSpaceDN w:val="0"/>
              <w:adjustRightInd w:val="0"/>
              <w:jc w:val="left"/>
              <w:rPr>
                <w:rFonts w:eastAsiaTheme="minorEastAsia" w:cs="Arial"/>
                <w:sz w:val="20"/>
              </w:rPr>
            </w:pPr>
          </w:p>
          <w:p w14:paraId="3F8FF68F" w14:textId="77777777" w:rsidR="002F6D01" w:rsidRPr="00607F73" w:rsidRDefault="002F6D01" w:rsidP="00543F68">
            <w:pPr>
              <w:autoSpaceDE w:val="0"/>
              <w:autoSpaceDN w:val="0"/>
              <w:adjustRightInd w:val="0"/>
              <w:jc w:val="left"/>
              <w:rPr>
                <w:rFonts w:eastAsiaTheme="minorEastAsia" w:cs="Arial"/>
                <w:sz w:val="20"/>
              </w:rPr>
            </w:pPr>
          </w:p>
          <w:p w14:paraId="10F292E9"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3.5 Quarterly National Statistics Office of Georgia report on CPI</w:t>
            </w:r>
          </w:p>
          <w:p w14:paraId="44FAA8A5" w14:textId="77777777" w:rsidR="002F6D01" w:rsidRPr="00607F73" w:rsidRDefault="002F6D01" w:rsidP="00543F68">
            <w:pPr>
              <w:autoSpaceDE w:val="0"/>
              <w:autoSpaceDN w:val="0"/>
              <w:adjustRightInd w:val="0"/>
              <w:jc w:val="left"/>
              <w:rPr>
                <w:rFonts w:eastAsiaTheme="minorEastAsia" w:cs="Arial"/>
                <w:sz w:val="20"/>
              </w:rPr>
            </w:pPr>
          </w:p>
          <w:p w14:paraId="5F249E07" w14:textId="77777777" w:rsidR="002F6D01" w:rsidRPr="00607F73" w:rsidRDefault="002F6D01" w:rsidP="00543F68">
            <w:pPr>
              <w:autoSpaceDE w:val="0"/>
              <w:autoSpaceDN w:val="0"/>
              <w:adjustRightInd w:val="0"/>
              <w:jc w:val="left"/>
              <w:rPr>
                <w:rFonts w:eastAsiaTheme="minorEastAsia" w:cs="Arial"/>
                <w:sz w:val="20"/>
              </w:rPr>
            </w:pPr>
          </w:p>
          <w:p w14:paraId="1ACF5573" w14:textId="77777777" w:rsidR="002F6D01" w:rsidRPr="00607F73" w:rsidRDefault="002F6D01" w:rsidP="00543F68">
            <w:pPr>
              <w:autoSpaceDE w:val="0"/>
              <w:autoSpaceDN w:val="0"/>
              <w:adjustRightInd w:val="0"/>
              <w:jc w:val="left"/>
              <w:rPr>
                <w:rFonts w:eastAsiaTheme="minorEastAsia" w:cs="Arial"/>
                <w:sz w:val="20"/>
              </w:rPr>
            </w:pPr>
          </w:p>
          <w:p w14:paraId="1F0DEDA1" w14:textId="77777777" w:rsidR="002F6D01" w:rsidRPr="00607F73" w:rsidRDefault="002F6D01" w:rsidP="00543F68">
            <w:pPr>
              <w:autoSpaceDE w:val="0"/>
              <w:autoSpaceDN w:val="0"/>
              <w:adjustRightInd w:val="0"/>
              <w:jc w:val="left"/>
              <w:rPr>
                <w:rFonts w:eastAsiaTheme="minorEastAsia" w:cs="Arial"/>
                <w:sz w:val="20"/>
              </w:rPr>
            </w:pPr>
          </w:p>
          <w:p w14:paraId="7461EC96" w14:textId="77777777" w:rsidR="002F6D01" w:rsidRPr="00607F73" w:rsidRDefault="002F6D01" w:rsidP="00543F68">
            <w:pPr>
              <w:autoSpaceDE w:val="0"/>
              <w:autoSpaceDN w:val="0"/>
              <w:adjustRightInd w:val="0"/>
              <w:jc w:val="left"/>
              <w:rPr>
                <w:rFonts w:eastAsiaTheme="minorEastAsia" w:cs="Arial"/>
                <w:sz w:val="20"/>
              </w:rPr>
            </w:pPr>
            <w:r w:rsidRPr="00607F73">
              <w:rPr>
                <w:rFonts w:eastAsiaTheme="minorEastAsia" w:cs="Arial"/>
                <w:sz w:val="20"/>
              </w:rPr>
              <w:t xml:space="preserve">3.6 MOF report submitted by December 2020 </w:t>
            </w:r>
          </w:p>
          <w:p w14:paraId="6BBE320C" w14:textId="77777777" w:rsidR="002F6D01" w:rsidRPr="00607F73" w:rsidRDefault="002F6D01" w:rsidP="00543F68">
            <w:pPr>
              <w:autoSpaceDE w:val="0"/>
              <w:autoSpaceDN w:val="0"/>
              <w:adjustRightInd w:val="0"/>
              <w:jc w:val="left"/>
              <w:rPr>
                <w:rFonts w:eastAsiaTheme="minorEastAsia" w:cs="Arial"/>
                <w:sz w:val="20"/>
              </w:rPr>
            </w:pPr>
          </w:p>
        </w:tc>
        <w:tc>
          <w:tcPr>
            <w:tcW w:w="2167" w:type="dxa"/>
            <w:tcBorders>
              <w:top w:val="single" w:sz="4" w:space="0" w:color="auto"/>
              <w:left w:val="single" w:sz="4" w:space="0" w:color="auto"/>
              <w:bottom w:val="single" w:sz="4" w:space="0" w:color="auto"/>
              <w:right w:val="single" w:sz="4" w:space="0" w:color="auto"/>
            </w:tcBorders>
          </w:tcPr>
          <w:p w14:paraId="7A92E46D" w14:textId="77777777" w:rsidR="002F6D01" w:rsidRPr="00607F73" w:rsidRDefault="002F6D01" w:rsidP="00543F68">
            <w:pPr>
              <w:autoSpaceDE w:val="0"/>
              <w:autoSpaceDN w:val="0"/>
              <w:adjustRightInd w:val="0"/>
              <w:jc w:val="left"/>
              <w:rPr>
                <w:rFonts w:eastAsiaTheme="minorEastAsia" w:cs="Arial"/>
                <w:sz w:val="20"/>
              </w:rPr>
            </w:pPr>
          </w:p>
          <w:p w14:paraId="7052235A" w14:textId="77777777" w:rsidR="002F6D01" w:rsidRPr="00607F73" w:rsidRDefault="002F6D01" w:rsidP="00543F68">
            <w:pPr>
              <w:autoSpaceDE w:val="0"/>
              <w:autoSpaceDN w:val="0"/>
              <w:adjustRightInd w:val="0"/>
              <w:jc w:val="left"/>
              <w:rPr>
                <w:rFonts w:eastAsiaTheme="minorEastAsia" w:cs="Arial"/>
                <w:sz w:val="20"/>
              </w:rPr>
            </w:pPr>
          </w:p>
        </w:tc>
      </w:tr>
    </w:tbl>
    <w:p w14:paraId="5482052E" w14:textId="77777777" w:rsidR="002F6D01" w:rsidRPr="00607F73" w:rsidRDefault="002F6D01" w:rsidP="002F6D01">
      <w:pPr>
        <w:jc w:val="left"/>
        <w:rPr>
          <w:rFonts w:eastAsiaTheme="minorEastAsia" w:cs="Arial"/>
          <w:sz w:val="2"/>
          <w:szCs w:val="2"/>
        </w:rPr>
      </w:pP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5"/>
      </w:tblGrid>
      <w:tr w:rsidR="002F6D01" w:rsidRPr="00607F73" w14:paraId="5E07E168" w14:textId="77777777" w:rsidTr="00543F68">
        <w:trPr>
          <w:cantSplit/>
          <w:trHeight w:val="684"/>
          <w:jc w:val="center"/>
        </w:trPr>
        <w:tc>
          <w:tcPr>
            <w:tcW w:w="9805" w:type="dxa"/>
            <w:tcBorders>
              <w:top w:val="single" w:sz="4" w:space="0" w:color="auto"/>
            </w:tcBorders>
          </w:tcPr>
          <w:p w14:paraId="1B0D8CEE" w14:textId="77777777" w:rsidR="002F6D01" w:rsidRPr="00607F73" w:rsidRDefault="002F6D01" w:rsidP="00543F68">
            <w:pPr>
              <w:spacing w:after="120"/>
              <w:jc w:val="left"/>
              <w:rPr>
                <w:rFonts w:eastAsiaTheme="minorEastAsia"/>
                <w:b/>
                <w:sz w:val="20"/>
                <w:szCs w:val="22"/>
              </w:rPr>
            </w:pPr>
            <w:r w:rsidRPr="00607F73">
              <w:rPr>
                <w:rFonts w:eastAsiaTheme="minorEastAsia" w:cs="Arial"/>
                <w:b/>
                <w:bCs/>
                <w:sz w:val="20"/>
                <w:szCs w:val="22"/>
              </w:rPr>
              <w:t>Budget Support</w:t>
            </w:r>
          </w:p>
          <w:p w14:paraId="71E44A6B" w14:textId="77777777" w:rsidR="002F6D01" w:rsidRPr="00607F73" w:rsidRDefault="002F6D01" w:rsidP="00543F68">
            <w:pPr>
              <w:spacing w:after="120"/>
              <w:jc w:val="left"/>
              <w:rPr>
                <w:rFonts w:eastAsiaTheme="minorEastAsia"/>
                <w:sz w:val="20"/>
                <w:szCs w:val="22"/>
              </w:rPr>
            </w:pPr>
            <w:r w:rsidRPr="00607F73">
              <w:rPr>
                <w:rFonts w:eastAsiaTheme="minorEastAsia"/>
                <w:sz w:val="20"/>
                <w:szCs w:val="22"/>
              </w:rPr>
              <w:t>Asian Development Bank: $100,000,000 (loan)</w:t>
            </w:r>
          </w:p>
        </w:tc>
      </w:tr>
    </w:tbl>
    <w:p w14:paraId="6F5F3A68" w14:textId="77777777" w:rsidR="002F6D01" w:rsidRPr="00607F73" w:rsidRDefault="002F6D01" w:rsidP="002F6D01">
      <w:pPr>
        <w:ind w:left="284" w:hanging="284"/>
        <w:rPr>
          <w:rFonts w:eastAsiaTheme="minorEastAsia"/>
          <w:sz w:val="18"/>
          <w:szCs w:val="18"/>
        </w:rPr>
      </w:pPr>
      <w:r w:rsidRPr="00607F73">
        <w:rPr>
          <w:rFonts w:eastAsiaTheme="minorEastAsia"/>
          <w:sz w:val="18"/>
          <w:szCs w:val="18"/>
          <w:vertAlign w:val="superscript"/>
        </w:rPr>
        <w:t>a</w:t>
      </w:r>
      <w:r w:rsidRPr="00607F73">
        <w:rPr>
          <w:rFonts w:eastAsiaTheme="minorEastAsia"/>
          <w:sz w:val="18"/>
          <w:szCs w:val="18"/>
          <w:vertAlign w:val="superscript"/>
        </w:rPr>
        <w:tab/>
      </w:r>
      <w:r w:rsidRPr="00607F73">
        <w:rPr>
          <w:rFonts w:eastAsiaTheme="minorEastAsia"/>
          <w:sz w:val="18"/>
          <w:szCs w:val="18"/>
        </w:rPr>
        <w:t xml:space="preserve">Government of Georgia. </w:t>
      </w:r>
      <w:r w:rsidRPr="00607F73">
        <w:rPr>
          <w:rFonts w:eastAsiaTheme="minorEastAsia"/>
          <w:i/>
          <w:iCs/>
          <w:sz w:val="18"/>
          <w:szCs w:val="18"/>
        </w:rPr>
        <w:t xml:space="preserve">Social-economic Development Strategy “Georgia 2020”. </w:t>
      </w:r>
      <w:r w:rsidRPr="00607F73">
        <w:rPr>
          <w:rFonts w:eastAsiaTheme="minorEastAsia"/>
          <w:sz w:val="18"/>
          <w:szCs w:val="18"/>
        </w:rPr>
        <w:t>Tbilisi.</w:t>
      </w:r>
    </w:p>
    <w:p w14:paraId="335089A4" w14:textId="77777777" w:rsidR="002F6D01" w:rsidRPr="00607F73" w:rsidRDefault="002F6D01" w:rsidP="002F6D01">
      <w:pPr>
        <w:ind w:left="284" w:hanging="284"/>
        <w:rPr>
          <w:rFonts w:eastAsiaTheme="minorEastAsia"/>
          <w:sz w:val="18"/>
          <w:szCs w:val="18"/>
        </w:rPr>
      </w:pPr>
      <w:r w:rsidRPr="00607F73">
        <w:rPr>
          <w:rFonts w:eastAsiaTheme="minorEastAsia" w:cs="Arial"/>
          <w:bCs/>
          <w:sz w:val="20"/>
          <w:vertAlign w:val="superscript"/>
        </w:rPr>
        <w:t>b</w:t>
      </w:r>
      <w:r w:rsidRPr="00607F73">
        <w:rPr>
          <w:rFonts w:eastAsiaTheme="minorEastAsia"/>
          <w:sz w:val="18"/>
          <w:szCs w:val="18"/>
        </w:rPr>
        <w:t xml:space="preserve">  </w:t>
      </w:r>
      <w:r w:rsidRPr="00607F73">
        <w:rPr>
          <w:rFonts w:eastAsiaTheme="minorEastAsia"/>
          <w:sz w:val="18"/>
          <w:szCs w:val="18"/>
        </w:rPr>
        <w:tab/>
        <w:t>Due to uncertainties in how the outbreak will unfold, its economic effects, the need for government responses to be flexible as the situation evolves, and because new data collection and reporting systems to monitor the crisis are being developed and evolving, it is not yet possible to set more specific and realistic effect of the program targets than those presented in the DMF. Additional indicators to measure the effects will be identified at a later stage and used to report on the program’s effectiveness as comprehensively as possible in the project completion report.</w:t>
      </w:r>
    </w:p>
    <w:p w14:paraId="33BD14BF" w14:textId="77777777" w:rsidR="002F6D01" w:rsidRPr="00607F73" w:rsidRDefault="002F6D01" w:rsidP="002F6D01">
      <w:pPr>
        <w:ind w:left="284" w:hanging="284"/>
        <w:rPr>
          <w:rFonts w:eastAsiaTheme="minorEastAsia" w:cs="Arial"/>
          <w:bCs/>
          <w:sz w:val="20"/>
        </w:rPr>
      </w:pPr>
      <w:r w:rsidRPr="00607F73">
        <w:rPr>
          <w:rFonts w:eastAsiaTheme="minorEastAsia" w:cs="Arial"/>
          <w:bCs/>
          <w:sz w:val="20"/>
          <w:vertAlign w:val="superscript"/>
        </w:rPr>
        <w:t xml:space="preserve">c  </w:t>
      </w:r>
      <w:r w:rsidRPr="00607F73">
        <w:rPr>
          <w:rFonts w:eastAsiaTheme="minorEastAsia" w:cs="Arial"/>
          <w:bCs/>
          <w:sz w:val="20"/>
          <w:vertAlign w:val="superscript"/>
        </w:rPr>
        <w:tab/>
      </w:r>
      <w:r w:rsidRPr="00607F73">
        <w:rPr>
          <w:rFonts w:eastAsiaTheme="minorEastAsia" w:cs="Arial"/>
          <w:bCs/>
          <w:sz w:val="18"/>
          <w:szCs w:val="18"/>
        </w:rPr>
        <w:t xml:space="preserve">Hotels with up to and </w:t>
      </w:r>
      <w:bookmarkStart w:id="6" w:name="_Hlk39663810"/>
      <w:r w:rsidRPr="00607F73">
        <w:rPr>
          <w:rFonts w:eastAsiaTheme="minorEastAsia" w:cs="Arial"/>
          <w:bCs/>
          <w:sz w:val="18"/>
          <w:szCs w:val="18"/>
        </w:rPr>
        <w:t xml:space="preserve">including </w:t>
      </w:r>
      <w:bookmarkEnd w:id="6"/>
      <w:r w:rsidRPr="00607F73">
        <w:rPr>
          <w:rFonts w:eastAsiaTheme="minorEastAsia" w:cs="Arial"/>
          <w:bCs/>
          <w:sz w:val="18"/>
          <w:szCs w:val="18"/>
        </w:rPr>
        <w:t>50 rooms</w:t>
      </w:r>
      <w:r w:rsidRPr="00607F73">
        <w:rPr>
          <w:rFonts w:eastAsiaTheme="minorEastAsia" w:cs="Arial"/>
          <w:bCs/>
          <w:sz w:val="20"/>
        </w:rPr>
        <w:t>.</w:t>
      </w:r>
    </w:p>
    <w:p w14:paraId="77D1B7C1" w14:textId="77777777" w:rsidR="002F6D01" w:rsidRPr="00607F73" w:rsidRDefault="002F6D01" w:rsidP="002F6D01">
      <w:pPr>
        <w:ind w:left="284" w:hanging="284"/>
        <w:rPr>
          <w:rFonts w:eastAsiaTheme="minorEastAsia"/>
          <w:sz w:val="18"/>
          <w:szCs w:val="18"/>
        </w:rPr>
      </w:pPr>
      <w:r w:rsidRPr="00607F73">
        <w:rPr>
          <w:rFonts w:eastAsiaTheme="minorEastAsia" w:cs="Arial"/>
          <w:bCs/>
          <w:sz w:val="20"/>
          <w:vertAlign w:val="superscript"/>
        </w:rPr>
        <w:t xml:space="preserve">d </w:t>
      </w:r>
      <w:r w:rsidRPr="00607F73">
        <w:rPr>
          <w:rFonts w:eastAsiaTheme="minorEastAsia" w:cs="Arial"/>
          <w:bCs/>
          <w:sz w:val="20"/>
          <w:vertAlign w:val="superscript"/>
        </w:rPr>
        <w:tab/>
      </w:r>
      <w:r w:rsidRPr="00607F73">
        <w:rPr>
          <w:rFonts w:eastAsiaTheme="minorEastAsia" w:cs="Arial"/>
          <w:bCs/>
          <w:sz w:val="18"/>
          <w:szCs w:val="18"/>
        </w:rPr>
        <w:t>Includes: rice,</w:t>
      </w:r>
      <w:r w:rsidRPr="00607F73">
        <w:rPr>
          <w:rFonts w:eastAsiaTheme="minorEastAsia" w:cs="Arial"/>
          <w:bCs/>
          <w:sz w:val="20"/>
          <w:vertAlign w:val="superscript"/>
        </w:rPr>
        <w:t xml:space="preserve">, </w:t>
      </w:r>
      <w:r w:rsidRPr="00607F73">
        <w:rPr>
          <w:rFonts w:eastAsiaTheme="minorEastAsia"/>
          <w:sz w:val="18"/>
          <w:szCs w:val="18"/>
        </w:rPr>
        <w:t>sunflower oil, sugar, wheat, beans, pasta, buckwheat, milk powder products, flour.</w:t>
      </w:r>
    </w:p>
    <w:p w14:paraId="4383552F" w14:textId="77777777" w:rsidR="002F6D01" w:rsidRPr="00607F73" w:rsidRDefault="002F6D01" w:rsidP="002F6D01">
      <w:pPr>
        <w:ind w:left="284" w:hanging="284"/>
        <w:rPr>
          <w:rFonts w:eastAsiaTheme="minorEastAsia" w:cs="Arial"/>
          <w:bCs/>
          <w:sz w:val="18"/>
          <w:szCs w:val="18"/>
        </w:rPr>
      </w:pPr>
      <w:r w:rsidRPr="00607F73">
        <w:rPr>
          <w:rFonts w:eastAsiaTheme="minorEastAsia" w:cs="Arial"/>
          <w:bCs/>
          <w:sz w:val="20"/>
          <w:vertAlign w:val="superscript"/>
        </w:rPr>
        <w:t xml:space="preserve">i   </w:t>
      </w:r>
      <w:r w:rsidRPr="00607F73">
        <w:rPr>
          <w:rFonts w:eastAsiaTheme="minorEastAsia" w:cs="Arial"/>
          <w:bCs/>
          <w:sz w:val="20"/>
          <w:vertAlign w:val="superscript"/>
        </w:rPr>
        <w:tab/>
      </w:r>
      <w:r w:rsidRPr="00607F73">
        <w:rPr>
          <w:rFonts w:eastAsiaTheme="minorEastAsia" w:cs="Arial"/>
          <w:bCs/>
          <w:sz w:val="18"/>
          <w:szCs w:val="18"/>
        </w:rPr>
        <w:t>During project implementation, targets may be revised once sex-disaggregated data is collected.</w:t>
      </w:r>
    </w:p>
    <w:p w14:paraId="2067BF79" w14:textId="77777777" w:rsidR="002F6D01" w:rsidRPr="00607F73" w:rsidRDefault="002F6D01" w:rsidP="002F6D01">
      <w:pPr>
        <w:rPr>
          <w:rFonts w:eastAsiaTheme="minorEastAsia"/>
          <w:sz w:val="18"/>
          <w:szCs w:val="18"/>
        </w:rPr>
      </w:pPr>
      <w:r w:rsidRPr="00607F73">
        <w:rPr>
          <w:rFonts w:eastAsiaTheme="minorEastAsia"/>
          <w:sz w:val="18"/>
          <w:szCs w:val="18"/>
        </w:rPr>
        <w:t xml:space="preserve">CGF = Credit Guarantee Fund; COVID-19 = Coronavirus Disease 2019; GEL = Georgian </w:t>
      </w:r>
      <w:proofErr w:type="spellStart"/>
      <w:r w:rsidRPr="00607F73">
        <w:rPr>
          <w:rFonts w:eastAsiaTheme="minorEastAsia"/>
          <w:sz w:val="18"/>
          <w:szCs w:val="18"/>
        </w:rPr>
        <w:t>Lari</w:t>
      </w:r>
      <w:proofErr w:type="spellEnd"/>
      <w:r w:rsidRPr="00607F73">
        <w:rPr>
          <w:rFonts w:eastAsiaTheme="minorEastAsia"/>
          <w:sz w:val="18"/>
          <w:szCs w:val="18"/>
        </w:rPr>
        <w:t xml:space="preserve">; IACC = Interagency Coordination Council on COVID-19; MEPA = Ministry of Environmental Protection and Agriculture; </w:t>
      </w:r>
      <w:proofErr w:type="spellStart"/>
      <w:r w:rsidRPr="00607F73">
        <w:rPr>
          <w:rFonts w:eastAsiaTheme="minorEastAsia"/>
          <w:sz w:val="18"/>
          <w:szCs w:val="18"/>
        </w:rPr>
        <w:t>MoILHSA</w:t>
      </w:r>
      <w:proofErr w:type="spellEnd"/>
      <w:r w:rsidRPr="00607F73">
        <w:rPr>
          <w:rFonts w:eastAsiaTheme="minorEastAsia"/>
          <w:sz w:val="18"/>
          <w:szCs w:val="18"/>
        </w:rPr>
        <w:t xml:space="preserve"> = Ministry of IDPs, </w:t>
      </w:r>
      <w:proofErr w:type="spellStart"/>
      <w:r w:rsidRPr="00607F73">
        <w:rPr>
          <w:rFonts w:eastAsiaTheme="minorEastAsia"/>
          <w:sz w:val="18"/>
          <w:szCs w:val="18"/>
        </w:rPr>
        <w:t>Labour</w:t>
      </w:r>
      <w:proofErr w:type="spellEnd"/>
      <w:r w:rsidRPr="00607F73">
        <w:rPr>
          <w:rFonts w:eastAsiaTheme="minorEastAsia"/>
          <w:sz w:val="18"/>
          <w:szCs w:val="18"/>
        </w:rPr>
        <w:t>, Health and  Social Affairs; MOF = Ministry of Finance; NBG = National Bank of Georgia; NPIs = non-pharmaceutical interventions; SMEs = small and medium-sized enterprises.</w:t>
      </w:r>
    </w:p>
    <w:p w14:paraId="34B6B744" w14:textId="537079F9" w:rsidR="00EC07C0" w:rsidRPr="002F6D01" w:rsidRDefault="002F6D01" w:rsidP="002F6D01">
      <w:pPr>
        <w:jc w:val="left"/>
        <w:rPr>
          <w:rFonts w:eastAsiaTheme="minorEastAsia"/>
          <w:sz w:val="18"/>
          <w:szCs w:val="18"/>
        </w:rPr>
      </w:pPr>
      <w:r w:rsidRPr="00607F73">
        <w:rPr>
          <w:rFonts w:eastAsiaTheme="minorEastAsia"/>
          <w:sz w:val="18"/>
          <w:szCs w:val="18"/>
        </w:rPr>
        <w:t>Source: Asian Development Bank.</w:t>
      </w:r>
      <w:bookmarkStart w:id="7" w:name="_GoBack"/>
      <w:bookmarkEnd w:id="4"/>
      <w:bookmarkEnd w:id="7"/>
    </w:p>
    <w:sectPr w:rsidR="00EC07C0" w:rsidRPr="002F6D01" w:rsidSect="005079AD">
      <w:headerReference w:type="even" r:id="rId15"/>
      <w:headerReference w:type="default" r:id="rId16"/>
      <w:footerReference w:type="default" r:id="rId17"/>
      <w:footnotePr>
        <w:numRestart w:val="eachSect"/>
      </w:footnotePr>
      <w:endnotePr>
        <w:numRestart w:val="eachSect"/>
      </w:endnotePr>
      <w:pgSz w:w="12240" w:h="15840" w:code="1"/>
      <w:pgMar w:top="1440" w:right="1440" w:bottom="1627" w:left="144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9AE69" w14:textId="77777777" w:rsidR="00543F68" w:rsidRDefault="00543F68">
      <w:r>
        <w:separator/>
      </w:r>
    </w:p>
  </w:endnote>
  <w:endnote w:type="continuationSeparator" w:id="0">
    <w:p w14:paraId="00C45024" w14:textId="77777777" w:rsidR="00543F68" w:rsidRDefault="00543F68">
      <w:r>
        <w:continuationSeparator/>
      </w:r>
    </w:p>
  </w:endnote>
  <w:endnote w:type="continuationNotice" w:id="1">
    <w:p w14:paraId="59918018" w14:textId="77777777" w:rsidR="00543F68" w:rsidRDefault="00543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s 721 Roman">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10321"/>
      <w:docPartObj>
        <w:docPartGallery w:val="Page Numbers (Bottom of Page)"/>
        <w:docPartUnique/>
      </w:docPartObj>
    </w:sdtPr>
    <w:sdtEndPr>
      <w:rPr>
        <w:noProof/>
      </w:rPr>
    </w:sdtEndPr>
    <w:sdtContent>
      <w:p w14:paraId="4843C1FE" w14:textId="4BF0613C" w:rsidR="00315D2C" w:rsidRDefault="00315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6C1CD" w14:textId="77777777" w:rsidR="00ED3B1B" w:rsidRDefault="00ED3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3260A" w14:textId="77777777" w:rsidR="00543F68" w:rsidRDefault="00543F68">
      <w:r>
        <w:separator/>
      </w:r>
    </w:p>
  </w:footnote>
  <w:footnote w:type="continuationSeparator" w:id="0">
    <w:p w14:paraId="5BFEC887" w14:textId="77777777" w:rsidR="00543F68" w:rsidRDefault="00543F68">
      <w:r>
        <w:continuationSeparator/>
      </w:r>
    </w:p>
  </w:footnote>
  <w:footnote w:type="continuationNotice" w:id="1">
    <w:p w14:paraId="706D0744" w14:textId="77777777" w:rsidR="00543F68" w:rsidRDefault="00543F68"/>
  </w:footnote>
  <w:footnote w:id="2">
    <w:p w14:paraId="5845FE7C" w14:textId="56A0FB33" w:rsidR="00D453D1" w:rsidRDefault="00D453D1" w:rsidP="00613EE1">
      <w:pPr>
        <w:pStyle w:val="FootnoteText"/>
        <w:ind w:left="0" w:firstLine="0"/>
      </w:pPr>
      <w:r>
        <w:rPr>
          <w:rStyle w:val="FootnoteReference"/>
        </w:rPr>
        <w:footnoteRef/>
      </w:r>
      <w:r>
        <w:t xml:space="preserve"> The processing team comprising of Rogerio de Almeida Vieira de Sa, YP, Central and West Asia Public Management, Financial Sector and Trade Division (CWPF) and Mr. Georgie Kiziria, Senior Project Officer (Infrastructure), Georgia Resident Mission (GRM) were guided by Mr. Tariq Niazi, Director, CWPF; and Shane Rosenthal, Country Director, GRM. </w:t>
      </w:r>
    </w:p>
  </w:footnote>
  <w:footnote w:id="3">
    <w:p w14:paraId="5AEBEC35" w14:textId="77777777" w:rsidR="00D453D1" w:rsidRDefault="00D453D1" w:rsidP="00BF3402">
      <w:pPr>
        <w:pStyle w:val="FootnoteText"/>
        <w:ind w:left="180" w:hanging="180"/>
      </w:pPr>
      <w:r w:rsidRPr="00646443">
        <w:rPr>
          <w:rStyle w:val="FootnoteReference"/>
        </w:rPr>
        <w:footnoteRef/>
      </w:r>
      <w:r w:rsidRPr="00646443">
        <w:tab/>
        <w:t xml:space="preserve">John Hopkins University. 2020. COVID-19 Dashboard by the Center for Systems Science and Engineering: </w:t>
      </w:r>
      <w:hyperlink r:id="rId1" w:history="1">
        <w:r w:rsidRPr="00646443">
          <w:rPr>
            <w:rStyle w:val="Hyperlink"/>
          </w:rPr>
          <w:t>https://coronavirus.jhu.edu/map.html</w:t>
        </w:r>
      </w:hyperlink>
      <w:r w:rsidRPr="00646443">
        <w:t>.</w:t>
      </w:r>
      <w:r>
        <w:t xml:space="preserve"> Washington D.C. (accessed on 24 April 2020)</w:t>
      </w:r>
    </w:p>
  </w:footnote>
  <w:footnote w:id="4">
    <w:p w14:paraId="27D18FDD" w14:textId="77777777" w:rsidR="00D453D1" w:rsidRDefault="00D453D1" w:rsidP="00BF3402">
      <w:pPr>
        <w:pStyle w:val="FootnoteText"/>
        <w:ind w:left="180" w:hanging="180"/>
        <w:jc w:val="left"/>
      </w:pPr>
      <w:r>
        <w:rPr>
          <w:rStyle w:val="FootnoteReference"/>
        </w:rPr>
        <w:footnoteRef/>
      </w:r>
      <w:r>
        <w:tab/>
      </w:r>
      <w:r w:rsidRPr="00646443">
        <w:t xml:space="preserve">National Statistics Office of Georgia. 2020. Demographics: </w:t>
      </w:r>
      <w:hyperlink r:id="rId2" w:history="1">
        <w:r w:rsidRPr="00646443">
          <w:rPr>
            <w:rStyle w:val="Hyperlink"/>
          </w:rPr>
          <w:t>https://www.geostat.ge/en/modules/categories/316/population-and-demography</w:t>
        </w:r>
      </w:hyperlink>
      <w:r w:rsidRPr="00646443">
        <w:t>. Tbilisi</w:t>
      </w:r>
      <w:r>
        <w:t>. (accessed on 23 April 2020)</w:t>
      </w:r>
    </w:p>
  </w:footnote>
  <w:footnote w:id="5">
    <w:p w14:paraId="2D88C643" w14:textId="77777777" w:rsidR="00D453D1" w:rsidRDefault="00D453D1" w:rsidP="00BF3402">
      <w:pPr>
        <w:pStyle w:val="FootnoteText"/>
        <w:ind w:left="180" w:right="-90" w:hanging="180"/>
      </w:pPr>
      <w:r>
        <w:rPr>
          <w:rStyle w:val="FootnoteReference"/>
        </w:rPr>
        <w:footnoteRef/>
      </w:r>
      <w:r>
        <w:tab/>
        <w:t xml:space="preserve">World Health Organization. 2020. </w:t>
      </w:r>
      <w:hyperlink r:id="rId3" w:history="1">
        <w:r w:rsidRPr="0058497E">
          <w:rPr>
            <w:rStyle w:val="Hyperlink"/>
            <w:i/>
          </w:rPr>
          <w:t>Coronavirus disease (COVID-19) situation reports</w:t>
        </w:r>
      </w:hyperlink>
      <w:r>
        <w:rPr>
          <w:rStyle w:val="Hyperlink"/>
        </w:rPr>
        <w:t>.</w:t>
      </w:r>
      <w:r w:rsidRPr="0058497E">
        <w:rPr>
          <w:rStyle w:val="Hyperlink"/>
          <w:color w:val="000000" w:themeColor="text1"/>
        </w:rPr>
        <w:t xml:space="preserve"> Geneva </w:t>
      </w:r>
      <w:r>
        <w:t>(accessed 24 April</w:t>
      </w:r>
    </w:p>
    <w:p w14:paraId="732ABBEC" w14:textId="77777777" w:rsidR="00D453D1" w:rsidRDefault="00D453D1" w:rsidP="00BF3402">
      <w:pPr>
        <w:pStyle w:val="FootnoteText"/>
        <w:ind w:left="180" w:right="-90" w:hanging="180"/>
      </w:pPr>
      <w:r>
        <w:t xml:space="preserve">  </w:t>
      </w:r>
      <w:r>
        <w:tab/>
        <w:t>2020).</w:t>
      </w:r>
    </w:p>
  </w:footnote>
  <w:footnote w:id="6">
    <w:p w14:paraId="497846CB" w14:textId="77777777" w:rsidR="00D453D1" w:rsidRDefault="00D453D1" w:rsidP="00BF3402">
      <w:pPr>
        <w:pStyle w:val="FootnoteText"/>
        <w:ind w:left="180" w:hanging="180"/>
      </w:pPr>
      <w:r>
        <w:rPr>
          <w:rStyle w:val="FootnoteReference"/>
        </w:rPr>
        <w:footnoteRef/>
      </w:r>
      <w:r>
        <w:tab/>
        <w:t xml:space="preserve">StopCov.ge. </w:t>
      </w:r>
      <w:hyperlink r:id="rId4" w:history="1">
        <w:r w:rsidRPr="0084511F">
          <w:rPr>
            <w:rStyle w:val="Hyperlink"/>
          </w:rPr>
          <w:t>https://stopcov.ge</w:t>
        </w:r>
      </w:hyperlink>
      <w:r>
        <w:t xml:space="preserve"> (accessed 26 April 2020)</w:t>
      </w:r>
    </w:p>
  </w:footnote>
  <w:footnote w:id="7">
    <w:p w14:paraId="2640AF8A" w14:textId="77777777" w:rsidR="00D453D1" w:rsidRDefault="00D453D1" w:rsidP="00BF3402">
      <w:pPr>
        <w:pStyle w:val="FootnoteText"/>
      </w:pPr>
      <w:r>
        <w:rPr>
          <w:rStyle w:val="FootnoteReference"/>
        </w:rPr>
        <w:footnoteRef/>
      </w:r>
      <w:r>
        <w:t xml:space="preserve"> </w:t>
      </w:r>
      <w:r w:rsidRPr="001010A1">
        <w:t>Walker, et al. 2020. Global Impact of COVID-19 and Strategies for Mitigation and Suppression. London.</w:t>
      </w:r>
    </w:p>
  </w:footnote>
  <w:footnote w:id="8">
    <w:p w14:paraId="1A9B1A26" w14:textId="77777777" w:rsidR="00D453D1" w:rsidRDefault="00D453D1" w:rsidP="00BF3402">
      <w:pPr>
        <w:pStyle w:val="FootnoteText"/>
        <w:ind w:left="180" w:hanging="180"/>
      </w:pPr>
      <w:r>
        <w:rPr>
          <w:rStyle w:val="FootnoteReference"/>
        </w:rPr>
        <w:footnoteRef/>
      </w:r>
      <w:r>
        <w:t xml:space="preserve">  </w:t>
      </w:r>
      <w:r w:rsidRPr="00966CA9">
        <w:t>While it is difficult to make reliable projections about the development of the pandemic, even with a reproduction number of 2.4 and mitigation measures such as social distancing of 35%</w:t>
      </w:r>
      <w:r>
        <w:t xml:space="preserve">. Walker, et al. 2020. </w:t>
      </w:r>
      <w:r w:rsidRPr="00C6313D">
        <w:t>Global Impact of COVID-19 and Strategies for Mitigation and Suppression.</w:t>
      </w:r>
      <w:r>
        <w:t xml:space="preserve"> London. </w:t>
      </w:r>
    </w:p>
  </w:footnote>
  <w:footnote w:id="9">
    <w:p w14:paraId="4B46F58D" w14:textId="77777777" w:rsidR="00D453D1" w:rsidRDefault="00D453D1" w:rsidP="00BF3402">
      <w:pPr>
        <w:pStyle w:val="FootnoteText"/>
        <w:ind w:left="180" w:hanging="180"/>
      </w:pPr>
      <w:r>
        <w:rPr>
          <w:rStyle w:val="FootnoteReference"/>
        </w:rPr>
        <w:footnoteRef/>
      </w:r>
      <w:r>
        <w:tab/>
        <w:t xml:space="preserve">Estimates based on Imperial College London model. </w:t>
      </w:r>
      <w:r w:rsidRPr="004F3D3B">
        <w:rPr>
          <w:szCs w:val="18"/>
        </w:rPr>
        <w:t>Walker, et al</w:t>
      </w:r>
      <w:r>
        <w:rPr>
          <w:szCs w:val="18"/>
        </w:rPr>
        <w:t>.</w:t>
      </w:r>
      <w:r w:rsidRPr="004F3D3B">
        <w:rPr>
          <w:szCs w:val="18"/>
        </w:rPr>
        <w:t xml:space="preserve"> 2020. </w:t>
      </w:r>
      <w:hyperlink r:id="rId5" w:history="1">
        <w:r w:rsidRPr="004F3D3B">
          <w:rPr>
            <w:rStyle w:val="Hyperlink"/>
            <w:szCs w:val="18"/>
          </w:rPr>
          <w:t xml:space="preserve">Global Impact of COVID-19 and </w:t>
        </w:r>
        <w:bookmarkStart w:id="0" w:name="_Hlt39004104"/>
        <w:r w:rsidRPr="004F3D3B">
          <w:rPr>
            <w:rStyle w:val="Hyperlink"/>
            <w:szCs w:val="18"/>
          </w:rPr>
          <w:t>S</w:t>
        </w:r>
        <w:bookmarkEnd w:id="0"/>
        <w:r w:rsidRPr="004F3D3B">
          <w:rPr>
            <w:rStyle w:val="Hyperlink"/>
            <w:szCs w:val="18"/>
          </w:rPr>
          <w:t>trategies for Mitigation and Suppression</w:t>
        </w:r>
      </w:hyperlink>
      <w:r>
        <w:rPr>
          <w:rStyle w:val="Hyperlink"/>
          <w:szCs w:val="18"/>
        </w:rPr>
        <w:t xml:space="preserve">. London. </w:t>
      </w:r>
    </w:p>
  </w:footnote>
  <w:footnote w:id="10">
    <w:p w14:paraId="7C470294" w14:textId="77777777" w:rsidR="00D453D1" w:rsidRPr="00334FDF" w:rsidRDefault="00D453D1" w:rsidP="00BF3402">
      <w:pPr>
        <w:pStyle w:val="FootnoteText"/>
        <w:ind w:left="180" w:hanging="180"/>
        <w:rPr>
          <w:lang w:val="en-PH"/>
        </w:rPr>
      </w:pPr>
      <w:r>
        <w:rPr>
          <w:rStyle w:val="FootnoteReference"/>
        </w:rPr>
        <w:footnoteRef/>
      </w:r>
      <w:r>
        <w:tab/>
        <w:t>M</w:t>
      </w:r>
      <w:proofErr w:type="spellStart"/>
      <w:r w:rsidRPr="00334FDF">
        <w:rPr>
          <w:lang w:val="en-PH"/>
        </w:rPr>
        <w:t>inistry</w:t>
      </w:r>
      <w:proofErr w:type="spellEnd"/>
      <w:r w:rsidRPr="00334FDF">
        <w:rPr>
          <w:lang w:val="en-PH"/>
        </w:rPr>
        <w:t xml:space="preserve"> of Internally Displaced Persons from the Occupied Territories, Labor, Health and Social Affairs (</w:t>
      </w:r>
      <w:proofErr w:type="spellStart"/>
      <w:r w:rsidRPr="00334FDF">
        <w:rPr>
          <w:lang w:val="en-PH"/>
        </w:rPr>
        <w:t>MoILHSA</w:t>
      </w:r>
      <w:proofErr w:type="spellEnd"/>
      <w:r w:rsidRPr="00334FDF">
        <w:rPr>
          <w:lang w:val="en-PH"/>
        </w:rPr>
        <w:t>). 2020</w:t>
      </w:r>
      <w:r w:rsidRPr="00334FDF">
        <w:t>.</w:t>
      </w:r>
      <w:r>
        <w:t xml:space="preserve"> Tbilisi</w:t>
      </w:r>
    </w:p>
  </w:footnote>
  <w:footnote w:id="11">
    <w:p w14:paraId="4B3AD83C" w14:textId="77777777" w:rsidR="00D453D1" w:rsidRDefault="00D453D1" w:rsidP="00BF3402">
      <w:pPr>
        <w:pStyle w:val="FootnoteText"/>
        <w:ind w:left="180" w:hanging="180"/>
        <w:jc w:val="left"/>
      </w:pPr>
      <w:r>
        <w:rPr>
          <w:rStyle w:val="FootnoteReference"/>
        </w:rPr>
        <w:footnoteRef/>
      </w:r>
      <w:r>
        <w:tab/>
      </w:r>
      <w:r w:rsidRPr="00611A3D">
        <w:t>Georgian National Tourism Administration</w:t>
      </w:r>
      <w:r>
        <w:t xml:space="preserve">. 2020. Tourism Data. Tbilisi </w:t>
      </w:r>
      <w:hyperlink r:id="rId6" w:history="1">
        <w:r w:rsidRPr="00FA3052">
          <w:rPr>
            <w:rStyle w:val="Hyperlink"/>
          </w:rPr>
          <w:t>https://gnta.ge/statistics/</w:t>
        </w:r>
      </w:hyperlink>
      <w:r>
        <w:t xml:space="preserve"> [accessed 22 April 2020] The tourism sector and inbound tourism expenditure stood at the equivalent of 21.7% of GDP in 2018 according to the UNWTO e-data base </w:t>
      </w:r>
      <w:hyperlink r:id="rId7" w:history="1">
        <w:r w:rsidRPr="00D409D9">
          <w:rPr>
            <w:rStyle w:val="Hyperlink"/>
          </w:rPr>
          <w:t>https://www.e-nwto.org/doi/pdf/10.5555/unwtotfb0268010020142018201911</w:t>
        </w:r>
      </w:hyperlink>
      <w:r>
        <w:t xml:space="preserve"> [accessed on 22 April 2020]</w:t>
      </w:r>
    </w:p>
  </w:footnote>
  <w:footnote w:id="12">
    <w:p w14:paraId="2B864200" w14:textId="77777777" w:rsidR="00D453D1" w:rsidRDefault="00D453D1" w:rsidP="00BF3402">
      <w:pPr>
        <w:pStyle w:val="FootnoteText"/>
        <w:ind w:left="180" w:hanging="180"/>
      </w:pPr>
      <w:r>
        <w:rPr>
          <w:rStyle w:val="FootnoteReference"/>
        </w:rPr>
        <w:footnoteRef/>
      </w:r>
      <w:r>
        <w:t xml:space="preserve"> </w:t>
      </w:r>
      <w:r w:rsidRPr="00086B32">
        <w:t>Georgian Civil Aviation Agency extended flight restrictions to the country till 22 May</w:t>
      </w:r>
    </w:p>
  </w:footnote>
  <w:footnote w:id="13">
    <w:p w14:paraId="589EC96C" w14:textId="77777777" w:rsidR="00D453D1" w:rsidRDefault="00D453D1" w:rsidP="00BF3402">
      <w:pPr>
        <w:pStyle w:val="FootnoteText"/>
        <w:ind w:left="180" w:hanging="180"/>
      </w:pPr>
      <w:r>
        <w:rPr>
          <w:rStyle w:val="FootnoteReference"/>
        </w:rPr>
        <w:footnoteRef/>
      </w:r>
      <w:r>
        <w:t xml:space="preserve"> IMF. 2020. </w:t>
      </w:r>
      <w:r w:rsidRPr="0024564D">
        <w:rPr>
          <w:i/>
        </w:rPr>
        <w:t>World Economic Outlook</w:t>
      </w:r>
      <w:r>
        <w:t>. Washington, D.C.</w:t>
      </w:r>
    </w:p>
  </w:footnote>
  <w:footnote w:id="14">
    <w:p w14:paraId="5EA222C1" w14:textId="77777777" w:rsidR="00D453D1" w:rsidRDefault="00D453D1" w:rsidP="00BF3402">
      <w:pPr>
        <w:pStyle w:val="FootnoteText"/>
        <w:ind w:left="180" w:right="-180" w:hanging="180"/>
        <w:jc w:val="left"/>
      </w:pPr>
      <w:r>
        <w:rPr>
          <w:rStyle w:val="FootnoteReference"/>
        </w:rPr>
        <w:footnoteRef/>
      </w:r>
      <w:r>
        <w:t xml:space="preserve"> National Bank of Georgia. 2020. </w:t>
      </w:r>
      <w:r w:rsidRPr="00817FE0">
        <w:rPr>
          <w:i/>
          <w:iCs/>
        </w:rPr>
        <w:t>Money Transfers Mapper.</w:t>
      </w:r>
      <w:r>
        <w:rPr>
          <w:i/>
          <w:iCs/>
        </w:rPr>
        <w:t xml:space="preserve"> </w:t>
      </w:r>
      <w:r w:rsidRPr="00817FE0">
        <w:t xml:space="preserve">Tbilisi.  </w:t>
      </w:r>
      <w:hyperlink r:id="rId8" w:history="1">
        <w:r w:rsidRPr="00FA73AD">
          <w:rPr>
            <w:rStyle w:val="Hyperlink"/>
          </w:rPr>
          <w:t>https://analytics.nbg.gov.ge/views/MoneyTransfers/MonayTransfersYoYGrowthRate?iframeSizedToWindow=true&amp;%3Aembed=y&amp;%3AshowAppBanner=false&amp;%3Adisplay_count=no&amp;%3AshowVizHome=no</w:t>
        </w:r>
      </w:hyperlink>
      <w:r>
        <w:t xml:space="preserve"> (accessed 22 April 2020).</w:t>
      </w:r>
    </w:p>
  </w:footnote>
  <w:footnote w:id="15">
    <w:p w14:paraId="0D1C1CE2" w14:textId="77777777" w:rsidR="00D453D1" w:rsidRDefault="00D453D1" w:rsidP="00BF3402">
      <w:pPr>
        <w:pStyle w:val="FootnoteText"/>
        <w:ind w:left="180" w:hanging="180"/>
      </w:pPr>
      <w:r>
        <w:rPr>
          <w:rStyle w:val="FootnoteReference"/>
        </w:rPr>
        <w:footnoteRef/>
      </w:r>
      <w:r>
        <w:tab/>
      </w:r>
      <w:r w:rsidRPr="009370EC">
        <w:t>Spending in transportation, clothing, electronics, and domestic services is projected to decline significantly</w:t>
      </w:r>
      <w:r w:rsidRPr="00461032">
        <w:t>. ISET. 2020.</w:t>
      </w:r>
      <w:r>
        <w:t xml:space="preserve"> </w:t>
      </w:r>
      <w:r w:rsidRPr="00E335B0">
        <w:rPr>
          <w:i/>
          <w:iCs/>
        </w:rPr>
        <w:t>The Economic Response to COVID-19: How is Georgia Handling the Crisis?</w:t>
      </w:r>
      <w:r>
        <w:t>. Tbilisi</w:t>
      </w:r>
    </w:p>
  </w:footnote>
  <w:footnote w:id="16">
    <w:p w14:paraId="0A8CCA9E" w14:textId="77777777" w:rsidR="00D453D1" w:rsidRDefault="00D453D1" w:rsidP="00BF3402">
      <w:pPr>
        <w:pStyle w:val="FootnoteText"/>
        <w:ind w:left="180" w:hanging="194"/>
      </w:pPr>
      <w:r>
        <w:rPr>
          <w:rStyle w:val="FootnoteReference"/>
        </w:rPr>
        <w:footnoteRef/>
      </w:r>
      <w:r>
        <w:t xml:space="preserve"> </w:t>
      </w:r>
      <w:r>
        <w:tab/>
        <w:t xml:space="preserve">IMF. 2020. </w:t>
      </w:r>
      <w:r w:rsidRPr="00381299">
        <w:rPr>
          <w:i/>
          <w:iCs/>
        </w:rPr>
        <w:t>World Economic Outlook</w:t>
      </w:r>
      <w:r>
        <w:t>. Washington, D.C.</w:t>
      </w:r>
    </w:p>
  </w:footnote>
  <w:footnote w:id="17">
    <w:p w14:paraId="5645D1EF" w14:textId="77777777" w:rsidR="00D453D1" w:rsidRDefault="00D453D1" w:rsidP="00BF3402">
      <w:pPr>
        <w:pStyle w:val="FootnoteText"/>
        <w:ind w:left="180" w:hanging="194"/>
      </w:pPr>
      <w:r>
        <w:rPr>
          <w:rStyle w:val="FootnoteReference"/>
        </w:rPr>
        <w:footnoteRef/>
      </w:r>
      <w:r>
        <w:t xml:space="preserve"> </w:t>
      </w:r>
      <w:r>
        <w:tab/>
        <w:t>The exchange rate depreciated from GEL2.79 per $1 on 18 March 2020 to GEL3.16 per $1, which marks a 11.7% depreciation. The depreciation peaked on 26 March at GEL3.51 per $1 or 20.5% depreciation.</w:t>
      </w:r>
    </w:p>
  </w:footnote>
  <w:footnote w:id="18">
    <w:p w14:paraId="4F93A30D" w14:textId="77777777" w:rsidR="00D453D1" w:rsidRDefault="00D453D1" w:rsidP="00BF3402">
      <w:pPr>
        <w:pStyle w:val="FootnoteText"/>
        <w:ind w:left="180" w:hanging="194"/>
      </w:pPr>
      <w:r>
        <w:rPr>
          <w:rStyle w:val="FootnoteReference"/>
        </w:rPr>
        <w:footnoteRef/>
      </w:r>
      <w:r>
        <w:t xml:space="preserve"> </w:t>
      </w:r>
      <w:r>
        <w:tab/>
        <w:t xml:space="preserve">The most affected sector are manufacturing, construction, wholesale and retail trade, and accommodation and food services. </w:t>
      </w:r>
      <w:r w:rsidRPr="0023789D">
        <w:t>ISET. 2020</w:t>
      </w:r>
      <w:r>
        <w:t xml:space="preserve">. </w:t>
      </w:r>
      <w:r w:rsidRPr="00E335B0">
        <w:rPr>
          <w:i/>
          <w:iCs/>
        </w:rPr>
        <w:t>The Economic Response to COVID-19: How is Georgia Handling the Crisis?</w:t>
      </w:r>
      <w:r>
        <w:t>. Tbilisi.</w:t>
      </w:r>
    </w:p>
  </w:footnote>
  <w:footnote w:id="19">
    <w:p w14:paraId="6DE312C5" w14:textId="77777777" w:rsidR="00D453D1" w:rsidRDefault="00D453D1" w:rsidP="00BF3402">
      <w:pPr>
        <w:pStyle w:val="FootnoteText"/>
        <w:ind w:left="180" w:hanging="194"/>
      </w:pPr>
      <w:r>
        <w:rPr>
          <w:rStyle w:val="FootnoteReference"/>
        </w:rPr>
        <w:footnoteRef/>
      </w:r>
      <w:r>
        <w:t xml:space="preserve"> </w:t>
      </w:r>
      <w:r>
        <w:tab/>
      </w:r>
      <w:r w:rsidRPr="00EE62B6">
        <w:t>Recent estimates suggest that 22.5% of Georgia’s formal workforce is at high risk of job loss as a result of COVID-19</w:t>
      </w:r>
      <w:r>
        <w:t xml:space="preserve">. </w:t>
      </w:r>
      <w:r w:rsidRPr="00EE62B6">
        <w:t xml:space="preserve">29.9% of hired workers and 14.0 of self-employed workers are at high risk of job loss amounting to a total of 381,548 jobs. </w:t>
      </w:r>
      <w:r w:rsidRPr="0023789D">
        <w:t>ISET. 2020</w:t>
      </w:r>
      <w:r>
        <w:t xml:space="preserve">. </w:t>
      </w:r>
      <w:r w:rsidRPr="00E335B0">
        <w:rPr>
          <w:i/>
          <w:iCs/>
        </w:rPr>
        <w:t>The Economic Response to COVID-19: How is Georgia Handling the Crisis?</w:t>
      </w:r>
      <w:r>
        <w:t xml:space="preserve"> Tbilisi.</w:t>
      </w:r>
    </w:p>
  </w:footnote>
  <w:footnote w:id="20">
    <w:p w14:paraId="3B5402BB" w14:textId="77777777" w:rsidR="00D453D1" w:rsidRDefault="00D453D1" w:rsidP="00BF3402">
      <w:pPr>
        <w:pStyle w:val="FootnoteText"/>
        <w:ind w:left="180" w:hanging="194"/>
      </w:pPr>
      <w:r>
        <w:rPr>
          <w:rStyle w:val="FootnoteReference"/>
        </w:rPr>
        <w:footnoteRef/>
      </w:r>
      <w:r>
        <w:t xml:space="preserve">  Among these,</w:t>
      </w:r>
      <w:r w:rsidRPr="00912D3F">
        <w:t xml:space="preserve"> 257,365 are hired employees and 124,183 are self-employed</w:t>
      </w:r>
      <w:r>
        <w:t>.</w:t>
      </w:r>
    </w:p>
  </w:footnote>
  <w:footnote w:id="21">
    <w:p w14:paraId="20F9A0D1" w14:textId="77777777" w:rsidR="00D453D1" w:rsidRDefault="00D453D1" w:rsidP="00BF3402">
      <w:pPr>
        <w:pStyle w:val="FootnoteText"/>
        <w:ind w:left="180" w:hanging="194"/>
      </w:pPr>
      <w:r>
        <w:rPr>
          <w:rStyle w:val="FootnoteReference"/>
        </w:rPr>
        <w:footnoteRef/>
      </w:r>
      <w:r>
        <w:t xml:space="preserve"> </w:t>
      </w:r>
      <w:r w:rsidRPr="00D51902">
        <w:t>Most affected sectors are construction, wholesale and retail trade, and accommodation and food services.</w:t>
      </w:r>
    </w:p>
  </w:footnote>
  <w:footnote w:id="22">
    <w:p w14:paraId="239B4672" w14:textId="77777777" w:rsidR="00D453D1" w:rsidRDefault="00D453D1" w:rsidP="00BF3402">
      <w:pPr>
        <w:pStyle w:val="FootnoteText"/>
      </w:pPr>
      <w:r>
        <w:rPr>
          <w:rStyle w:val="FootnoteReference"/>
        </w:rPr>
        <w:footnoteRef/>
      </w:r>
      <w:r>
        <w:t xml:space="preserve"> </w:t>
      </w:r>
      <w:r>
        <w:tab/>
        <w:t xml:space="preserve">The share of population under the absolute poverty line has decreased from 37.3% in 2010 to 20.1% </w:t>
      </w:r>
      <w:r w:rsidRPr="000D24D8">
        <w:t>National Statics Office of Georgia</w:t>
      </w:r>
      <w:r>
        <w:t xml:space="preserve">. 2020. </w:t>
      </w:r>
      <w:hyperlink r:id="rId9" w:history="1">
        <w:r w:rsidRPr="00170650">
          <w:rPr>
            <w:rStyle w:val="Hyperlink"/>
          </w:rPr>
          <w:t>https://www.geostat.ge/en/modules/categories/192/living-conditions</w:t>
        </w:r>
      </w:hyperlink>
      <w:r>
        <w:t xml:space="preserve"> (accessed on 14 April 2020)</w:t>
      </w:r>
    </w:p>
  </w:footnote>
  <w:footnote w:id="23">
    <w:p w14:paraId="16EA590F" w14:textId="77777777" w:rsidR="00D453D1" w:rsidRDefault="00D453D1" w:rsidP="00BF3402">
      <w:pPr>
        <w:pStyle w:val="FootnoteText"/>
      </w:pPr>
      <w:r w:rsidRPr="002432BC">
        <w:rPr>
          <w:rStyle w:val="FootnoteReference"/>
        </w:rPr>
        <w:footnoteRef/>
      </w:r>
      <w:r>
        <w:t xml:space="preserve"> </w:t>
      </w:r>
      <w:r>
        <w:tab/>
        <w:t xml:space="preserve">Vulnerability is defined as having a probability of falling into poverty larger than a threshold of 10%. </w:t>
      </w:r>
      <w:r w:rsidRPr="002432BC">
        <w:t xml:space="preserve">World Bank. 2020. </w:t>
      </w:r>
      <w:r w:rsidRPr="00320900">
        <w:rPr>
          <w:i/>
          <w:iCs/>
        </w:rPr>
        <w:t>Georgia COVID 19 Emergency Response.</w:t>
      </w:r>
      <w:r w:rsidRPr="002432BC">
        <w:t xml:space="preserve"> Washington</w:t>
      </w:r>
      <w:r>
        <w:t>,</w:t>
      </w:r>
      <w:r w:rsidRPr="002432BC">
        <w:t xml:space="preserve"> D.C.</w:t>
      </w:r>
    </w:p>
  </w:footnote>
  <w:footnote w:id="24">
    <w:p w14:paraId="37675F87" w14:textId="77777777" w:rsidR="00D453D1" w:rsidRDefault="00D453D1" w:rsidP="00BF3402">
      <w:pPr>
        <w:pStyle w:val="FootnoteText"/>
      </w:pPr>
      <w:r>
        <w:rPr>
          <w:rStyle w:val="FootnoteReference"/>
        </w:rPr>
        <w:footnoteRef/>
      </w:r>
      <w:r>
        <w:t xml:space="preserve"> </w:t>
      </w:r>
      <w:r>
        <w:tab/>
      </w:r>
      <w:r w:rsidRPr="00626EA9">
        <w:t>An estimated 40% of those whose incomes are estimated to be only marginally above the poverty threshold depend on labor income (wages).</w:t>
      </w:r>
    </w:p>
  </w:footnote>
  <w:footnote w:id="25">
    <w:p w14:paraId="13C89809" w14:textId="77777777" w:rsidR="00D453D1" w:rsidRDefault="00D453D1" w:rsidP="00BF3402">
      <w:pPr>
        <w:pStyle w:val="FootnoteText"/>
      </w:pPr>
      <w:r>
        <w:rPr>
          <w:rStyle w:val="FootnoteReference"/>
        </w:rPr>
        <w:footnoteRef/>
      </w:r>
      <w:r>
        <w:tab/>
      </w:r>
      <w:r w:rsidRPr="00E948AD">
        <w:t>Spending in transportation, clothing, electronics</w:t>
      </w:r>
      <w:r>
        <w:t>,</w:t>
      </w:r>
      <w:r w:rsidRPr="00E948AD">
        <w:t xml:space="preserve"> and domestic services </w:t>
      </w:r>
      <w:r>
        <w:t>is</w:t>
      </w:r>
      <w:r w:rsidRPr="00E948AD">
        <w:t xml:space="preserve"> projected to decline significantly.</w:t>
      </w:r>
    </w:p>
  </w:footnote>
  <w:footnote w:id="26">
    <w:p w14:paraId="117D4A85" w14:textId="77777777" w:rsidR="00D453D1" w:rsidRDefault="00D453D1" w:rsidP="00BF3402">
      <w:pPr>
        <w:pStyle w:val="FootnoteText"/>
      </w:pPr>
      <w:r>
        <w:rPr>
          <w:rStyle w:val="FootnoteReference"/>
        </w:rPr>
        <w:footnoteRef/>
      </w:r>
      <w:r>
        <w:t xml:space="preserve"> </w:t>
      </w:r>
      <w:r>
        <w:tab/>
        <w:t xml:space="preserve">National Statistics Office of Georgia: </w:t>
      </w:r>
      <w:hyperlink r:id="rId10" w:history="1">
        <w:r w:rsidRPr="00170650">
          <w:rPr>
            <w:rStyle w:val="Hyperlink"/>
          </w:rPr>
          <w:t>https://www.geostat.ge/en/modules/categories/38/employment-and-unemployment</w:t>
        </w:r>
      </w:hyperlink>
      <w:r>
        <w:t xml:space="preserve"> </w:t>
      </w:r>
    </w:p>
  </w:footnote>
  <w:footnote w:id="27">
    <w:p w14:paraId="0EA07B1B" w14:textId="77777777" w:rsidR="00D453D1" w:rsidRDefault="00D453D1" w:rsidP="00BF3402">
      <w:pPr>
        <w:pStyle w:val="FootnoteText"/>
      </w:pPr>
      <w:r>
        <w:rPr>
          <w:rStyle w:val="FootnoteReference"/>
        </w:rPr>
        <w:footnoteRef/>
      </w:r>
      <w:r>
        <w:t xml:space="preserve">  National Statistics Office of Georgia: </w:t>
      </w:r>
      <w:hyperlink r:id="rId11" w:history="1">
        <w:r w:rsidRPr="00A4197D">
          <w:rPr>
            <w:rStyle w:val="Hyperlink"/>
          </w:rPr>
          <w:t>https://www.geostat.ge/en/modules/categories/39/wages</w:t>
        </w:r>
      </w:hyperlink>
      <w:r>
        <w:t xml:space="preserve"> </w:t>
      </w:r>
    </w:p>
  </w:footnote>
  <w:footnote w:id="28">
    <w:p w14:paraId="3D9F636C" w14:textId="77777777" w:rsidR="00D453D1" w:rsidRDefault="00D453D1" w:rsidP="00BF3402">
      <w:pPr>
        <w:pStyle w:val="FootnoteText"/>
      </w:pPr>
      <w:r>
        <w:rPr>
          <w:rStyle w:val="FootnoteReference"/>
        </w:rPr>
        <w:footnoteRef/>
      </w:r>
      <w:r>
        <w:t xml:space="preserve">  National Statistics of Georgia: </w:t>
      </w:r>
      <w:hyperlink r:id="rId12" w:history="1">
        <w:r w:rsidRPr="00A4197D">
          <w:rPr>
            <w:rStyle w:val="Hyperlink"/>
          </w:rPr>
          <w:t>https://www.geostat.ge/en/modules/categories/38/employment-and-unemployment</w:t>
        </w:r>
      </w:hyperlink>
      <w:r>
        <w:t xml:space="preserve"> </w:t>
      </w:r>
    </w:p>
  </w:footnote>
  <w:footnote w:id="29">
    <w:p w14:paraId="26B5EAF2" w14:textId="77777777" w:rsidR="00D453D1" w:rsidRDefault="00D453D1" w:rsidP="00BF3402">
      <w:pPr>
        <w:pStyle w:val="FootnoteText"/>
      </w:pPr>
      <w:r>
        <w:rPr>
          <w:rStyle w:val="FootnoteReference"/>
        </w:rPr>
        <w:footnoteRef/>
      </w:r>
      <w:r>
        <w:t xml:space="preserve"> The national average salary in Georgia for 2017 was GEL1,069. Women’s average salary in the tourism sector was GEL369. </w:t>
      </w:r>
    </w:p>
  </w:footnote>
  <w:footnote w:id="30">
    <w:p w14:paraId="2C030F0C" w14:textId="77777777" w:rsidR="00D453D1" w:rsidRDefault="00D453D1" w:rsidP="00BF3402">
      <w:pPr>
        <w:pStyle w:val="FootnoteText"/>
      </w:pPr>
      <w:r>
        <w:rPr>
          <w:rStyle w:val="FootnoteReference"/>
        </w:rPr>
        <w:footnoteRef/>
      </w:r>
      <w:r>
        <w:t xml:space="preserve"> </w:t>
      </w:r>
      <w:r>
        <w:tab/>
        <w:t xml:space="preserve">UN Women. 2017. </w:t>
      </w:r>
      <w:r w:rsidRPr="00E35220">
        <w:rPr>
          <w:i/>
          <w:iCs/>
        </w:rPr>
        <w:t>Migration, Remittances and Financial Inclusion: Challenges and Opportunities for Women’s Economic Empowerment</w:t>
      </w:r>
      <w:r>
        <w:t>. New York.</w:t>
      </w:r>
    </w:p>
  </w:footnote>
  <w:footnote w:id="31">
    <w:p w14:paraId="02B1BBA0" w14:textId="77777777" w:rsidR="00D453D1" w:rsidRDefault="00D453D1" w:rsidP="009C0341">
      <w:pPr>
        <w:pStyle w:val="FootnoteText"/>
      </w:pPr>
      <w:r>
        <w:rPr>
          <w:rStyle w:val="FootnoteReference"/>
        </w:rPr>
        <w:footnoteRef/>
      </w:r>
      <w:r>
        <w:t xml:space="preserve"> </w:t>
      </w:r>
      <w:r>
        <w:tab/>
        <w:t xml:space="preserve">Government of Georgia. 2020. </w:t>
      </w:r>
      <w:r w:rsidRPr="00B4575B">
        <w:rPr>
          <w:i/>
          <w:iCs/>
        </w:rPr>
        <w:t>Ordinance 181: On the Approval of Measures to be Implemented in connection with the Spread of the Novel Coronavirus (COVID19) in Georgia</w:t>
      </w:r>
      <w:r>
        <w:t>, Tbilisi.</w:t>
      </w:r>
    </w:p>
  </w:footnote>
  <w:footnote w:id="32">
    <w:p w14:paraId="19ED4F07" w14:textId="77777777" w:rsidR="00D453D1" w:rsidRDefault="00D453D1" w:rsidP="009C0341">
      <w:pPr>
        <w:pStyle w:val="FootnoteText"/>
        <w:ind w:left="180" w:hanging="180"/>
      </w:pPr>
      <w:r>
        <w:rPr>
          <w:rStyle w:val="FootnoteReference"/>
        </w:rPr>
        <w:footnoteRef/>
      </w:r>
      <w:r>
        <w:t xml:space="preserve"> IMF. 2019. </w:t>
      </w:r>
      <w:r w:rsidRPr="00C9374B">
        <w:rPr>
          <w:i/>
          <w:iCs/>
        </w:rPr>
        <w:t>Fifth Review under the Extended Arrangement</w:t>
      </w:r>
      <w:r>
        <w:t>, Washington D.C.</w:t>
      </w:r>
    </w:p>
  </w:footnote>
  <w:footnote w:id="33">
    <w:p w14:paraId="3D04D064" w14:textId="77777777" w:rsidR="00D453D1" w:rsidRPr="00620F7B" w:rsidRDefault="00D453D1" w:rsidP="009C0341">
      <w:pPr>
        <w:pStyle w:val="FootnoteText"/>
        <w:ind w:left="284" w:hanging="284"/>
        <w:rPr>
          <w:highlight w:val="yellow"/>
        </w:rPr>
      </w:pPr>
      <w:r>
        <w:rPr>
          <w:rStyle w:val="FootnoteReference"/>
        </w:rPr>
        <w:footnoteRef/>
      </w:r>
      <w:r w:rsidRPr="00620F7B">
        <w:t xml:space="preserve"> </w:t>
      </w:r>
      <w:r>
        <w:tab/>
        <w:t xml:space="preserve">Civil.ge. </w:t>
      </w:r>
      <w:hyperlink r:id="rId13" w:history="1">
        <w:r w:rsidRPr="00326E74">
          <w:rPr>
            <w:rStyle w:val="Hyperlink"/>
          </w:rPr>
          <w:t>https://civil.ge/ar</w:t>
        </w:r>
        <w:bookmarkStart w:id="1" w:name="_Hlt39003681"/>
        <w:r w:rsidRPr="00326E74">
          <w:rPr>
            <w:rStyle w:val="Hyperlink"/>
          </w:rPr>
          <w:t>c</w:t>
        </w:r>
        <w:bookmarkEnd w:id="1"/>
        <w:r w:rsidRPr="00326E74">
          <w:rPr>
            <w:rStyle w:val="Hyperlink"/>
          </w:rPr>
          <w:t>hives/342281</w:t>
        </w:r>
      </w:hyperlink>
      <w:r w:rsidRPr="00326E74">
        <w:t xml:space="preserve"> (accessed on 26 April 2020)</w:t>
      </w:r>
    </w:p>
  </w:footnote>
  <w:footnote w:id="34">
    <w:p w14:paraId="7CBB6E2E" w14:textId="77777777" w:rsidR="00D453D1" w:rsidRPr="00620F7B" w:rsidRDefault="00D453D1" w:rsidP="009C0341">
      <w:pPr>
        <w:pStyle w:val="FootnoteText"/>
        <w:ind w:left="284" w:hanging="284"/>
      </w:pPr>
      <w:r w:rsidRPr="00326E74">
        <w:rPr>
          <w:rStyle w:val="FootnoteReference"/>
        </w:rPr>
        <w:footnoteRef/>
      </w:r>
      <w:r w:rsidRPr="00326E74">
        <w:t xml:space="preserve"> </w:t>
      </w:r>
      <w:r>
        <w:tab/>
      </w:r>
      <w:proofErr w:type="spellStart"/>
      <w:r w:rsidRPr="00326E74">
        <w:t>MoILHSA</w:t>
      </w:r>
      <w:proofErr w:type="spellEnd"/>
      <w:r w:rsidRPr="00326E74">
        <w:t xml:space="preserve">. </w:t>
      </w:r>
      <w:hyperlink r:id="rId14" w:history="1">
        <w:r w:rsidRPr="00326E74">
          <w:rPr>
            <w:rStyle w:val="Hyperlink"/>
          </w:rPr>
          <w:t>https://www.moh.gov.ge/en/news/5066/</w:t>
        </w:r>
      </w:hyperlink>
      <w:r w:rsidRPr="00620F7B">
        <w:t xml:space="preserve"> (accessed on 26 April 2020).</w:t>
      </w:r>
    </w:p>
  </w:footnote>
  <w:footnote w:id="35">
    <w:p w14:paraId="3D7EE375" w14:textId="77777777" w:rsidR="00D453D1" w:rsidRPr="001E5049" w:rsidRDefault="00D453D1" w:rsidP="009C0341">
      <w:pPr>
        <w:pStyle w:val="FootnoteText"/>
        <w:ind w:left="180" w:hanging="180"/>
        <w:jc w:val="left"/>
        <w:rPr>
          <w:color w:val="0000FF"/>
          <w:u w:val="single"/>
        </w:rPr>
      </w:pPr>
      <w:r>
        <w:rPr>
          <w:rStyle w:val="FootnoteReference"/>
        </w:rPr>
        <w:footnoteRef/>
      </w:r>
      <w:r>
        <w:t xml:space="preserve"> Data from </w:t>
      </w:r>
      <w:r w:rsidRPr="00326E74">
        <w:t>MOF</w:t>
      </w:r>
      <w:r>
        <w:t xml:space="preserve">. Global average of domestic general government health spending for upper-middle income countries was 3.8% of GDP in 2017: Global Health Observatory. </w:t>
      </w:r>
      <w:r w:rsidRPr="003A6852">
        <w:rPr>
          <w:lang w:val="en-PH"/>
        </w:rPr>
        <w:t>Domestic general government health expenditure as percent of GD</w:t>
      </w:r>
      <w:r>
        <w:rPr>
          <w:lang w:val="en-PH"/>
        </w:rPr>
        <w:t xml:space="preserve">P. </w:t>
      </w:r>
      <w:hyperlink r:id="rId15" w:history="1">
        <w:r w:rsidRPr="005A5286">
          <w:rPr>
            <w:rStyle w:val="Hyperlink"/>
          </w:rPr>
          <w:t>https://apps.who.int/gho/data/view.main.GHEDGG</w:t>
        </w:r>
        <w:bookmarkStart w:id="2" w:name="_Hlt39003807"/>
        <w:r w:rsidRPr="005A5286">
          <w:rPr>
            <w:rStyle w:val="Hyperlink"/>
          </w:rPr>
          <w:t>H</w:t>
        </w:r>
        <w:bookmarkEnd w:id="2"/>
        <w:r w:rsidRPr="005A5286">
          <w:rPr>
            <w:rStyle w:val="Hyperlink"/>
          </w:rPr>
          <w:t>EDGDPSHA2011WBv?lang=en</w:t>
        </w:r>
      </w:hyperlink>
      <w:r w:rsidRPr="004A1D42">
        <w:rPr>
          <w:lang w:val="en-PH"/>
        </w:rPr>
        <w:t xml:space="preserve"> </w:t>
      </w:r>
      <w:r>
        <w:rPr>
          <w:lang w:val="en-PH"/>
        </w:rPr>
        <w:t>(accessed on 27 April 2020).</w:t>
      </w:r>
    </w:p>
  </w:footnote>
  <w:footnote w:id="36">
    <w:p w14:paraId="47E8C603" w14:textId="77777777" w:rsidR="00D453D1" w:rsidRPr="002260AC" w:rsidRDefault="00D453D1" w:rsidP="009C0341">
      <w:pPr>
        <w:pStyle w:val="FootnoteText"/>
        <w:ind w:left="180" w:hanging="180"/>
        <w:rPr>
          <w:lang w:val="en-PH"/>
        </w:rPr>
      </w:pPr>
      <w:r>
        <w:rPr>
          <w:rStyle w:val="FootnoteReference"/>
        </w:rPr>
        <w:footnoteRef/>
      </w:r>
      <w:r>
        <w:t xml:space="preserve"> Global Health Observatory</w:t>
      </w:r>
      <w:r w:rsidRPr="002260AC">
        <w:rPr>
          <w:b/>
        </w:rPr>
        <w:t xml:space="preserve">. </w:t>
      </w:r>
      <w:r w:rsidRPr="002260AC">
        <w:rPr>
          <w:lang w:val="en-PH"/>
        </w:rPr>
        <w:t>Out-of-pocket expenditure as percent of current health expenditure</w:t>
      </w:r>
      <w:r>
        <w:rPr>
          <w:lang w:val="en-PH"/>
        </w:rPr>
        <w:t>.</w:t>
      </w:r>
    </w:p>
    <w:p w14:paraId="48013802" w14:textId="77777777" w:rsidR="00D453D1" w:rsidRPr="00352D1C" w:rsidRDefault="00543F68" w:rsidP="009C0341">
      <w:pPr>
        <w:pStyle w:val="FootnoteText"/>
        <w:ind w:left="180" w:firstLine="0"/>
        <w:rPr>
          <w:lang w:val="en-PH"/>
        </w:rPr>
      </w:pPr>
      <w:hyperlink r:id="rId16" w:history="1">
        <w:r w:rsidR="00D453D1" w:rsidRPr="0084511F">
          <w:rPr>
            <w:rStyle w:val="Hyperlink"/>
          </w:rPr>
          <w:t>https://apps.who.int/gho/data/node.main.GHEDOOPSCHESHA2011?lang=en</w:t>
        </w:r>
      </w:hyperlink>
      <w:r w:rsidR="00D453D1">
        <w:t xml:space="preserve"> (accessed on 27 April 2020).</w:t>
      </w:r>
    </w:p>
  </w:footnote>
  <w:footnote w:id="37">
    <w:p w14:paraId="0629444C" w14:textId="77777777" w:rsidR="00D453D1" w:rsidRDefault="00D453D1" w:rsidP="00F65144">
      <w:pPr>
        <w:pStyle w:val="FootnoteText"/>
        <w:ind w:left="180" w:hanging="180"/>
      </w:pPr>
      <w:r>
        <w:rPr>
          <w:rStyle w:val="FootnoteReference"/>
        </w:rPr>
        <w:footnoteRef/>
      </w:r>
      <w:r>
        <w:t xml:space="preserve"> The “Produce in Georgia” Program was created in 2014 with the aim of incentivizing the emergence of </w:t>
      </w:r>
      <w:r w:rsidRPr="005A02E5">
        <w:t xml:space="preserve">new </w:t>
      </w:r>
      <w:r>
        <w:t>SMEs</w:t>
      </w:r>
      <w:r w:rsidRPr="005A02E5">
        <w:t xml:space="preserve"> in local markets </w:t>
      </w:r>
      <w:r>
        <w:t>and</w:t>
      </w:r>
      <w:r w:rsidRPr="005A02E5">
        <w:t xml:space="preserve"> developing production-oriented industries</w:t>
      </w:r>
    </w:p>
  </w:footnote>
  <w:footnote w:id="38">
    <w:p w14:paraId="782DCF34" w14:textId="77777777" w:rsidR="00D453D1" w:rsidRDefault="00D453D1" w:rsidP="00F65144">
      <w:pPr>
        <w:pStyle w:val="FootnoteText"/>
        <w:ind w:left="284" w:hanging="284"/>
      </w:pPr>
      <w:r>
        <w:rPr>
          <w:rStyle w:val="FootnoteReference"/>
        </w:rPr>
        <w:footnoteRef/>
      </w:r>
      <w:r>
        <w:t xml:space="preserve"> Ministry of Economy and Sustainable Development. 2017. </w:t>
      </w:r>
      <w:proofErr w:type="spellStart"/>
      <w:r w:rsidRPr="00283FD8">
        <w:rPr>
          <w:i/>
          <w:iCs/>
        </w:rPr>
        <w:t>Labour</w:t>
      </w:r>
      <w:proofErr w:type="spellEnd"/>
      <w:r w:rsidRPr="00283FD8">
        <w:rPr>
          <w:i/>
          <w:iCs/>
        </w:rPr>
        <w:t xml:space="preserve"> Market Analysis of Georgia</w:t>
      </w:r>
      <w:r>
        <w:t>. Tbilisi</w:t>
      </w:r>
    </w:p>
  </w:footnote>
  <w:footnote w:id="39">
    <w:p w14:paraId="1072F58E" w14:textId="77777777" w:rsidR="00D453D1" w:rsidRDefault="00D453D1" w:rsidP="00F65144">
      <w:pPr>
        <w:pStyle w:val="FootnoteText"/>
        <w:ind w:left="284" w:hanging="284"/>
      </w:pPr>
      <w:r>
        <w:rPr>
          <w:rStyle w:val="FootnoteReference"/>
        </w:rPr>
        <w:footnoteRef/>
      </w:r>
      <w:r>
        <w:t xml:space="preserve"> </w:t>
      </w:r>
      <w:r>
        <w:tab/>
      </w:r>
      <w:r w:rsidRPr="004731B0">
        <w:t xml:space="preserve">A total of 381,548 jobs—of which 257,365 employees and 124,183 self-employed—are at high risk of job loss as a result of the COVID-19 crisis. Most affected sectors are construction, manufacturing, trade, and tourism. Besides, 23% of the population, or 45% of the total work force, is working in the informal sector, and at high risk of loss of income. The majority of the self-employed are working in the agriculture sector. While this sector is expected to be only moderately affected, the impact on the self-employed will still be substantial, given their low earnings, putting them at risk of falling into poverty. </w:t>
      </w:r>
      <w:r>
        <w:t xml:space="preserve">ISET. 2020. </w:t>
      </w:r>
      <w:r w:rsidRPr="00C32A72">
        <w:rPr>
          <w:i/>
          <w:iCs/>
        </w:rPr>
        <w:t>The Social Impacts of COVID-19</w:t>
      </w:r>
      <w:r>
        <w:t>. Tbilisi.</w:t>
      </w:r>
    </w:p>
  </w:footnote>
  <w:footnote w:id="40">
    <w:p w14:paraId="2542FF36" w14:textId="77777777" w:rsidR="00D453D1" w:rsidRDefault="00D453D1" w:rsidP="00F65144">
      <w:pPr>
        <w:pStyle w:val="FootnoteText"/>
        <w:tabs>
          <w:tab w:val="left" w:pos="90"/>
        </w:tabs>
        <w:ind w:left="284" w:hanging="284"/>
      </w:pPr>
      <w:r>
        <w:rPr>
          <w:rStyle w:val="FootnoteReference"/>
        </w:rPr>
        <w:footnoteRef/>
      </w:r>
      <w:r>
        <w:t xml:space="preserve"> </w:t>
      </w:r>
      <w:r>
        <w:tab/>
        <w:t xml:space="preserve">Based on 2017 data, Georgia exported $523 million worth of foodstuffs (mostly wine), and $163 million worth of vegetable products versus importing $596 million foodstuffs and $298 million vegetable products, balancing at -$208 million per year. </w:t>
      </w:r>
      <w:proofErr w:type="spellStart"/>
      <w:r>
        <w:t>S</w:t>
      </w:r>
      <w:r w:rsidRPr="00FB6318">
        <w:t>imoes</w:t>
      </w:r>
      <w:proofErr w:type="spellEnd"/>
      <w:r>
        <w:t xml:space="preserve"> and </w:t>
      </w:r>
      <w:r w:rsidRPr="00FB6318">
        <w:t xml:space="preserve">Hidalgo. </w:t>
      </w:r>
      <w:r>
        <w:t xml:space="preserve">2020. </w:t>
      </w:r>
      <w:r w:rsidRPr="00FB6318">
        <w:t>The Economic Complexity Observatory: An Analytical Tool for Understanding the Dynamics of Economic Development.</w:t>
      </w:r>
      <w:r>
        <w:t xml:space="preserve"> Michigan. </w:t>
      </w:r>
      <w:hyperlink r:id="rId17" w:history="1"/>
      <w:r>
        <w:t xml:space="preserve"> (accessed 26 April 2020)</w:t>
      </w:r>
    </w:p>
  </w:footnote>
  <w:footnote w:id="41">
    <w:p w14:paraId="16457E0E" w14:textId="77777777" w:rsidR="00D453D1" w:rsidRDefault="00D453D1" w:rsidP="00F65144">
      <w:pPr>
        <w:pStyle w:val="FootnoteText"/>
        <w:tabs>
          <w:tab w:val="left" w:pos="90"/>
        </w:tabs>
        <w:ind w:left="284" w:hanging="284"/>
      </w:pPr>
      <w:r>
        <w:rPr>
          <w:rStyle w:val="FootnoteReference"/>
        </w:rPr>
        <w:footnoteRef/>
      </w:r>
      <w:r>
        <w:t xml:space="preserve"> </w:t>
      </w:r>
      <w:r>
        <w:tab/>
      </w:r>
      <w:r w:rsidRPr="003F60C3">
        <w:t xml:space="preserve">P. </w:t>
      </w:r>
      <w:proofErr w:type="spellStart"/>
      <w:r w:rsidRPr="003F60C3">
        <w:t>Mamardashvili</w:t>
      </w:r>
      <w:proofErr w:type="spellEnd"/>
      <w:r w:rsidRPr="003F60C3">
        <w:t xml:space="preserve"> et al. 2020. </w:t>
      </w:r>
      <w:r w:rsidRPr="0023789D">
        <w:rPr>
          <w:i/>
        </w:rPr>
        <w:t>How Does Covid-19 Affect the Food Supply Chain in Georgia?</w:t>
      </w:r>
      <w:r w:rsidRPr="003F60C3">
        <w:t xml:space="preserve"> Tbilisi.</w:t>
      </w:r>
    </w:p>
  </w:footnote>
  <w:footnote w:id="42">
    <w:p w14:paraId="0301A4D9" w14:textId="77777777" w:rsidR="00D453D1" w:rsidRDefault="00D453D1" w:rsidP="00F65144">
      <w:pPr>
        <w:pStyle w:val="FootnoteText"/>
        <w:tabs>
          <w:tab w:val="left" w:pos="90"/>
        </w:tabs>
        <w:ind w:left="284" w:hanging="284"/>
      </w:pPr>
      <w:r>
        <w:rPr>
          <w:rStyle w:val="FootnoteReference"/>
        </w:rPr>
        <w:footnoteRef/>
      </w:r>
      <w:r>
        <w:t xml:space="preserve"> </w:t>
      </w:r>
      <w:r>
        <w:tab/>
        <w:t xml:space="preserve">Based on </w:t>
      </w:r>
      <w:proofErr w:type="spellStart"/>
      <w:r>
        <w:t>GeoStat</w:t>
      </w:r>
      <w:proofErr w:type="spellEnd"/>
      <w:r>
        <w:t xml:space="preserve"> 2018 data, Georgia has a self-sufficiency ratio (domestic production/imports) in wheat of 15%, maize 71%, potatoes 102%, vegetables 59%, meat 52%, milk and milk products 81%, and eggs 99%. </w:t>
      </w:r>
      <w:hyperlink r:id="rId18" w:history="1">
        <w:r w:rsidRPr="00FA3052">
          <w:rPr>
            <w:rStyle w:val="Hyperlink"/>
          </w:rPr>
          <w:t>https://www.geostat.ge/en/modules/categories/297/food-security</w:t>
        </w:r>
      </w:hyperlink>
      <w:r>
        <w:t xml:space="preserve"> (accessed 26 April 2020)</w:t>
      </w:r>
    </w:p>
  </w:footnote>
  <w:footnote w:id="43">
    <w:p w14:paraId="711DD06D" w14:textId="77777777" w:rsidR="00D453D1" w:rsidRDefault="00D453D1" w:rsidP="00F65144">
      <w:pPr>
        <w:pStyle w:val="FootnoteText"/>
        <w:tabs>
          <w:tab w:val="left" w:pos="90"/>
        </w:tabs>
        <w:ind w:left="284" w:hanging="284"/>
      </w:pPr>
      <w:r>
        <w:rPr>
          <w:rStyle w:val="FootnoteReference"/>
        </w:rPr>
        <w:footnoteRef/>
      </w:r>
      <w:r>
        <w:t xml:space="preserve"> </w:t>
      </w:r>
      <w:r>
        <w:tab/>
        <w:t xml:space="preserve">MEPA. 2020. </w:t>
      </w:r>
      <w:r w:rsidRPr="001865B9">
        <w:rPr>
          <w:i/>
        </w:rPr>
        <w:t>News release</w:t>
      </w:r>
      <w:r>
        <w:rPr>
          <w:i/>
          <w:iCs/>
        </w:rPr>
        <w:t xml:space="preserve"> 24 April 2020</w:t>
      </w:r>
      <w:r w:rsidRPr="001865B9">
        <w:rPr>
          <w:i/>
        </w:rPr>
        <w:t>: The Ministry of Environmental Protection and Agriculture of Georgia is taking complex measures to reduce economic damage in the agricultural production.</w:t>
      </w:r>
      <w:r>
        <w:t xml:space="preserve"> Tbilisi.</w:t>
      </w:r>
    </w:p>
  </w:footnote>
  <w:footnote w:id="44">
    <w:p w14:paraId="1FD1DD43" w14:textId="77777777" w:rsidR="00D453D1" w:rsidRPr="000A6FBD" w:rsidRDefault="00D453D1" w:rsidP="00F65144">
      <w:pPr>
        <w:pStyle w:val="FootnoteText"/>
        <w:tabs>
          <w:tab w:val="left" w:pos="90"/>
        </w:tabs>
        <w:ind w:left="284" w:hanging="284"/>
      </w:pPr>
      <w:r>
        <w:rPr>
          <w:rStyle w:val="FootnoteReference"/>
        </w:rPr>
        <w:footnoteRef/>
      </w:r>
      <w:r>
        <w:t xml:space="preserve"> </w:t>
      </w:r>
      <w:r>
        <w:tab/>
        <w:t xml:space="preserve">Food categories covered are rice, pasta, buckwheat, vegetable oil, sugar, wheat, wheat flour, milk powder, and beans. The program of GEL10 million will be implemented until 15 May 2020 to subsidize importers’ additional costs due to exchange rate fluctuations in order to cap prices of the mentioned items. Furthermore, the government announced to purchase GEL16 million worth of sugar (5,000 tons), vegetable oil (1,500 thousand liters) and pasta (500 tons). P. </w:t>
      </w:r>
      <w:proofErr w:type="spellStart"/>
      <w:r w:rsidRPr="00B44EB1">
        <w:t>Mamardashvili</w:t>
      </w:r>
      <w:proofErr w:type="spellEnd"/>
      <w:r>
        <w:t xml:space="preserve"> et al. 2020. </w:t>
      </w:r>
      <w:r w:rsidRPr="001865B9">
        <w:rPr>
          <w:i/>
        </w:rPr>
        <w:t>How Does Covid-19 Affect the Food Supply Chain in Georgia?</w:t>
      </w:r>
      <w:r>
        <w:rPr>
          <w:i/>
          <w:iCs/>
        </w:rPr>
        <w:t xml:space="preserve"> </w:t>
      </w:r>
      <w:r>
        <w:t>Tbilisi.</w:t>
      </w:r>
    </w:p>
  </w:footnote>
  <w:footnote w:id="45">
    <w:p w14:paraId="512220E4" w14:textId="77777777" w:rsidR="00D453D1" w:rsidRDefault="00D453D1" w:rsidP="00F65144">
      <w:pPr>
        <w:pStyle w:val="FootnoteText"/>
        <w:tabs>
          <w:tab w:val="left" w:pos="90"/>
        </w:tabs>
        <w:ind w:left="284" w:hanging="284"/>
      </w:pPr>
      <w:r>
        <w:rPr>
          <w:rStyle w:val="FootnoteReference"/>
        </w:rPr>
        <w:footnoteRef/>
      </w:r>
      <w:r>
        <w:t xml:space="preserve"> </w:t>
      </w:r>
      <w:r>
        <w:tab/>
      </w:r>
      <w:r w:rsidRPr="00636B3C">
        <w:t xml:space="preserve">The </w:t>
      </w:r>
      <w:r>
        <w:t xml:space="preserve">government </w:t>
      </w:r>
      <w:r w:rsidRPr="00636B3C">
        <w:t xml:space="preserve">will fully finance the interest rate for </w:t>
      </w:r>
      <w:r>
        <w:t>six</w:t>
      </w:r>
      <w:r w:rsidRPr="00636B3C">
        <w:t xml:space="preserve"> months, farmers will pay the principal after selling their harvest. </w:t>
      </w:r>
      <w:r>
        <w:t>The measure targets around</w:t>
      </w:r>
      <w:r w:rsidRPr="00636B3C">
        <w:t xml:space="preserve"> 5,000 beneficiaries.</w:t>
      </w:r>
    </w:p>
  </w:footnote>
  <w:footnote w:id="46">
    <w:p w14:paraId="2554A498" w14:textId="77777777" w:rsidR="00D453D1" w:rsidRDefault="00D453D1" w:rsidP="00F65144">
      <w:pPr>
        <w:pStyle w:val="FootnoteText"/>
        <w:tabs>
          <w:tab w:val="left" w:pos="90"/>
        </w:tabs>
        <w:ind w:left="284" w:hanging="284"/>
      </w:pPr>
      <w:r>
        <w:rPr>
          <w:rStyle w:val="FootnoteReference"/>
        </w:rPr>
        <w:footnoteRef/>
      </w:r>
      <w:r>
        <w:t xml:space="preserve"> </w:t>
      </w:r>
      <w:r>
        <w:tab/>
        <w:t>The subcomponent will finance up to GEL25 million.</w:t>
      </w:r>
    </w:p>
  </w:footnote>
  <w:footnote w:id="47">
    <w:p w14:paraId="3B3B25EC" w14:textId="77777777" w:rsidR="00D453D1" w:rsidRDefault="00D453D1" w:rsidP="00F65144">
      <w:pPr>
        <w:pStyle w:val="FootnoteText"/>
        <w:tabs>
          <w:tab w:val="left" w:pos="90"/>
        </w:tabs>
        <w:ind w:left="284" w:hanging="284"/>
      </w:pPr>
      <w:r>
        <w:rPr>
          <w:rStyle w:val="FootnoteReference"/>
        </w:rPr>
        <w:footnoteRef/>
      </w:r>
      <w:r>
        <w:tab/>
        <w:t>The program will benefit around 60 dairy farmers</w:t>
      </w:r>
      <w:r w:rsidRPr="00B24C6C">
        <w:t xml:space="preserve"> </w:t>
      </w:r>
      <w:r>
        <w:t>and is financed by the International Fund for Agricultural Development.</w:t>
      </w:r>
    </w:p>
  </w:footnote>
  <w:footnote w:id="48">
    <w:p w14:paraId="672AAC3E" w14:textId="77777777" w:rsidR="00D453D1" w:rsidRDefault="00D453D1" w:rsidP="00F65144">
      <w:pPr>
        <w:pStyle w:val="FootnoteText"/>
        <w:tabs>
          <w:tab w:val="left" w:pos="90"/>
        </w:tabs>
        <w:ind w:left="284" w:hanging="284"/>
      </w:pPr>
      <w:r>
        <w:rPr>
          <w:rStyle w:val="FootnoteReference"/>
        </w:rPr>
        <w:footnoteRef/>
      </w:r>
      <w:r>
        <w:t xml:space="preserve"> </w:t>
      </w:r>
      <w:r>
        <w:tab/>
        <w:t>F</w:t>
      </w:r>
      <w:r w:rsidRPr="00B24C6C">
        <w:t>or access to agricultural machinery and promotion of agricultural production in greenhouses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130A0" w14:textId="77777777" w:rsidR="00D453D1" w:rsidRDefault="00D453D1" w:rsidP="00F80CDC">
    <w:pPr>
      <w:pStyle w:val="Header"/>
      <w:ind w:right="90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B716E" w14:textId="0BC8B90D" w:rsidR="00D453D1" w:rsidRPr="00AE22B9" w:rsidRDefault="00D453D1" w:rsidP="007A44C3">
    <w:pPr>
      <w:pStyle w:val="Header"/>
      <w:tabs>
        <w:tab w:val="clear" w:pos="4320"/>
        <w:tab w:val="right" w:pos="9360"/>
      </w:tabs>
      <w:jc w:val="right"/>
      <w:rPr>
        <w:sz w:val="28"/>
      </w:rPr>
    </w:pPr>
    <w:r>
      <w:rPr>
        <w:sz w:val="18"/>
        <w:szCs w:val="18"/>
      </w:rPr>
      <w:tab/>
    </w:r>
    <w:r>
      <w:rPr>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67EA610"/>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lowerRoman"/>
      <w:pStyle w:val="Heading5"/>
      <w:lvlText w:val="%5."/>
      <w:legacy w:legacy="1" w:legacySpace="0" w:legacyIndent="720"/>
      <w:lvlJc w:val="left"/>
      <w:pPr>
        <w:ind w:left="2880" w:hanging="720"/>
      </w:pPr>
    </w:lvl>
    <w:lvl w:ilvl="5">
      <w:start w:val="1"/>
      <w:numFmt w:val="none"/>
      <w:pStyle w:val="Heading6"/>
      <w:suff w:val="nothing"/>
      <w:lvlText w:val=""/>
      <w:lvlJc w:val="left"/>
      <w:pPr>
        <w:ind w:left="4320" w:hanging="720"/>
      </w:pPr>
    </w:lvl>
    <w:lvl w:ilvl="6">
      <w:start w:val="1"/>
      <w:numFmt w:val="none"/>
      <w:pStyle w:val="Heading7"/>
      <w:suff w:val="nothing"/>
      <w:lvlText w:val=""/>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15:restartNumberingAfterBreak="0">
    <w:nsid w:val="01473D80"/>
    <w:multiLevelType w:val="hybridMultilevel"/>
    <w:tmpl w:val="48DCB70C"/>
    <w:lvl w:ilvl="0" w:tplc="04090015">
      <w:start w:val="1"/>
      <w:numFmt w:val="upperLetter"/>
      <w:lvlText w:val="%1."/>
      <w:lvlJc w:val="left"/>
      <w:pPr>
        <w:tabs>
          <w:tab w:val="num" w:pos="1080"/>
        </w:tabs>
        <w:ind w:left="1080" w:hanging="720"/>
      </w:pPr>
      <w:rPr>
        <w:rFonts w:hint="default"/>
        <w:b/>
      </w:rPr>
    </w:lvl>
    <w:lvl w:ilvl="1" w:tplc="9BC67DC4">
      <w:start w:val="1"/>
      <w:numFmt w:val="upperLetter"/>
      <w:lvlText w:val="%2."/>
      <w:lvlJc w:val="left"/>
      <w:pPr>
        <w:tabs>
          <w:tab w:val="num" w:pos="1800"/>
        </w:tabs>
        <w:ind w:left="1800" w:hanging="720"/>
      </w:pPr>
      <w:rPr>
        <w:rFonts w:hint="default"/>
        <w:b/>
      </w:rPr>
    </w:lvl>
    <w:lvl w:ilvl="2" w:tplc="806C4198">
      <w:start w:val="2"/>
      <w:numFmt w:val="decimal"/>
      <w:lvlText w:val="%3."/>
      <w:lvlJc w:val="left"/>
      <w:pPr>
        <w:tabs>
          <w:tab w:val="num" w:pos="2340"/>
        </w:tabs>
        <w:ind w:left="2340" w:hanging="360"/>
      </w:pPr>
      <w:rPr>
        <w:rFonts w:hint="default"/>
      </w:rPr>
    </w:lvl>
    <w:lvl w:ilvl="3" w:tplc="82AC645A">
      <w:start w:val="1"/>
      <w:numFmt w:val="decimal"/>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F91C55D8">
      <w:start w:val="1"/>
      <w:numFmt w:val="decimal"/>
      <w:lvlText w:val="%7."/>
      <w:lvlJc w:val="left"/>
      <w:pPr>
        <w:tabs>
          <w:tab w:val="num" w:pos="5040"/>
        </w:tabs>
        <w:ind w:left="5040" w:hanging="360"/>
      </w:pPr>
      <w:rPr>
        <w:rFonts w:hint="default"/>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915D8"/>
    <w:multiLevelType w:val="hybridMultilevel"/>
    <w:tmpl w:val="EC2E3CB4"/>
    <w:lvl w:ilvl="0" w:tplc="F48073FC">
      <w:start w:val="1"/>
      <w:numFmt w:val="decimal"/>
      <w:lvlText w:val="%1."/>
      <w:lvlJc w:val="left"/>
      <w:pPr>
        <w:ind w:left="330" w:hanging="360"/>
      </w:pPr>
      <w:rPr>
        <w:rFonts w:eastAsia="MS Mincho"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 w15:restartNumberingAfterBreak="0">
    <w:nsid w:val="090533AE"/>
    <w:multiLevelType w:val="hybridMultilevel"/>
    <w:tmpl w:val="C608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C401F8"/>
    <w:multiLevelType w:val="hybridMultilevel"/>
    <w:tmpl w:val="C7A4740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7260"/>
    <w:multiLevelType w:val="hybridMultilevel"/>
    <w:tmpl w:val="1C7ABDEC"/>
    <w:lvl w:ilvl="0" w:tplc="AEBA966C">
      <w:start w:val="8"/>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D5AF1"/>
    <w:multiLevelType w:val="multilevel"/>
    <w:tmpl w:val="2B1A0FD4"/>
    <w:styleLink w:val="Style2"/>
    <w:lvl w:ilvl="0">
      <w:start w:val="4"/>
      <w:numFmt w:val="decimal"/>
      <w:lvlText w:val="%1."/>
      <w:lvlJc w:val="left"/>
      <w:pPr>
        <w:ind w:left="720" w:hanging="360"/>
      </w:pPr>
      <w:rPr>
        <w:rFonts w:eastAsia="SimSun" w:hint="default"/>
        <w:b w:val="0"/>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092D97"/>
    <w:multiLevelType w:val="hybridMultilevel"/>
    <w:tmpl w:val="3E9C51CC"/>
    <w:lvl w:ilvl="0" w:tplc="67EAF688">
      <w:start w:val="1"/>
      <w:numFmt w:val="low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F2395"/>
    <w:multiLevelType w:val="hybridMultilevel"/>
    <w:tmpl w:val="4F12DCF6"/>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812AFA"/>
    <w:multiLevelType w:val="hybridMultilevel"/>
    <w:tmpl w:val="99E8F130"/>
    <w:lvl w:ilvl="0" w:tplc="7E7A9990">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9134D"/>
    <w:multiLevelType w:val="multilevel"/>
    <w:tmpl w:val="1E445DC0"/>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7AC0ACE"/>
    <w:multiLevelType w:val="hybridMultilevel"/>
    <w:tmpl w:val="D1DEBE8E"/>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2D76C0"/>
    <w:multiLevelType w:val="hybridMultilevel"/>
    <w:tmpl w:val="28C0CB06"/>
    <w:lvl w:ilvl="0" w:tplc="433E0BE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13FAC"/>
    <w:multiLevelType w:val="hybridMultilevel"/>
    <w:tmpl w:val="4132A4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052F4D"/>
    <w:multiLevelType w:val="hybridMultilevel"/>
    <w:tmpl w:val="BDF28278"/>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1265B"/>
    <w:multiLevelType w:val="hybridMultilevel"/>
    <w:tmpl w:val="FBDE3FB0"/>
    <w:lvl w:ilvl="0" w:tplc="C3983C56">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1A1934"/>
    <w:multiLevelType w:val="hybridMultilevel"/>
    <w:tmpl w:val="2F86A07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B2CE8"/>
    <w:multiLevelType w:val="multilevel"/>
    <w:tmpl w:val="7BF4D1CA"/>
    <w:lvl w:ilvl="0">
      <w:start w:val="1"/>
      <w:numFmt w:val="decimal"/>
      <w:lvlText w:val="%1."/>
      <w:lvlJc w:val="left"/>
      <w:pPr>
        <w:ind w:left="360" w:hanging="360"/>
      </w:pPr>
    </w:lvl>
    <w:lvl w:ilvl="1">
      <w:start w:val="2"/>
      <w:numFmt w:val="decimal"/>
      <w:isLgl/>
      <w:lvlText w:val="%1.%2."/>
      <w:lvlJc w:val="left"/>
      <w:pPr>
        <w:ind w:left="360" w:hanging="360"/>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18" w15:restartNumberingAfterBreak="0">
    <w:nsid w:val="5A4D101F"/>
    <w:multiLevelType w:val="hybridMultilevel"/>
    <w:tmpl w:val="466865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592097"/>
    <w:multiLevelType w:val="hybridMultilevel"/>
    <w:tmpl w:val="4B7C5D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795537"/>
    <w:multiLevelType w:val="hybridMultilevel"/>
    <w:tmpl w:val="AEACA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A650BF"/>
    <w:multiLevelType w:val="hybridMultilevel"/>
    <w:tmpl w:val="D1182DF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8F2D7F"/>
    <w:multiLevelType w:val="hybridMultilevel"/>
    <w:tmpl w:val="4D48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0"/>
  </w:num>
  <w:num w:numId="11">
    <w:abstractNumId w:val="6"/>
  </w:num>
  <w:num w:numId="12">
    <w:abstractNumId w:val="1"/>
  </w:num>
  <w:num w:numId="13">
    <w:abstractNumId w:val="14"/>
  </w:num>
  <w:num w:numId="14">
    <w:abstractNumId w:val="2"/>
  </w:num>
  <w:num w:numId="15">
    <w:abstractNumId w:val="22"/>
  </w:num>
  <w:num w:numId="16">
    <w:abstractNumId w:val="11"/>
  </w:num>
  <w:num w:numId="17">
    <w:abstractNumId w:val="20"/>
  </w:num>
  <w:num w:numId="18">
    <w:abstractNumId w:val="13"/>
  </w:num>
  <w:num w:numId="19">
    <w:abstractNumId w:val="21"/>
  </w:num>
  <w:num w:numId="20">
    <w:abstractNumId w:val="17"/>
  </w:num>
  <w:num w:numId="21">
    <w:abstractNumId w:val="12"/>
  </w:num>
  <w:num w:numId="22">
    <w:abstractNumId w:val="4"/>
  </w:num>
  <w:num w:numId="23">
    <w:abstractNumId w:val="16"/>
  </w:num>
  <w:num w:numId="24">
    <w:abstractNumId w:val="5"/>
  </w:num>
  <w:num w:numId="25">
    <w:abstractNumId w:val="7"/>
  </w:num>
  <w:num w:numId="26">
    <w:abstractNumId w:val="19"/>
  </w:num>
  <w:num w:numId="27">
    <w:abstractNumId w:val="18"/>
  </w:num>
  <w:num w:numId="28">
    <w:abstractNumId w:val="8"/>
  </w:num>
  <w:num w:numId="29">
    <w:abstractNumId w:val="15"/>
  </w:num>
  <w:num w:numId="30">
    <w:abstractNumId w:val="9"/>
  </w:num>
  <w:num w:numId="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20"/>
    <w:rsid w:val="0000005B"/>
    <w:rsid w:val="000002B5"/>
    <w:rsid w:val="00005AC5"/>
    <w:rsid w:val="00010D9C"/>
    <w:rsid w:val="000112AC"/>
    <w:rsid w:val="00011373"/>
    <w:rsid w:val="00013C1F"/>
    <w:rsid w:val="000169DD"/>
    <w:rsid w:val="0002045E"/>
    <w:rsid w:val="00020988"/>
    <w:rsid w:val="00022EB3"/>
    <w:rsid w:val="000305BC"/>
    <w:rsid w:val="00034D58"/>
    <w:rsid w:val="00036874"/>
    <w:rsid w:val="00041291"/>
    <w:rsid w:val="00041456"/>
    <w:rsid w:val="0004307A"/>
    <w:rsid w:val="000545A7"/>
    <w:rsid w:val="000579D1"/>
    <w:rsid w:val="000620AB"/>
    <w:rsid w:val="0006369A"/>
    <w:rsid w:val="00064276"/>
    <w:rsid w:val="000664B9"/>
    <w:rsid w:val="0007035C"/>
    <w:rsid w:val="0007529C"/>
    <w:rsid w:val="000805C9"/>
    <w:rsid w:val="000810D0"/>
    <w:rsid w:val="000812D2"/>
    <w:rsid w:val="00081592"/>
    <w:rsid w:val="00084856"/>
    <w:rsid w:val="00084C48"/>
    <w:rsid w:val="00084C83"/>
    <w:rsid w:val="00085EE7"/>
    <w:rsid w:val="00086CC7"/>
    <w:rsid w:val="00086E86"/>
    <w:rsid w:val="00090D01"/>
    <w:rsid w:val="000915B4"/>
    <w:rsid w:val="000921F6"/>
    <w:rsid w:val="00094365"/>
    <w:rsid w:val="0009489A"/>
    <w:rsid w:val="000A0028"/>
    <w:rsid w:val="000A1E72"/>
    <w:rsid w:val="000A3110"/>
    <w:rsid w:val="000A4316"/>
    <w:rsid w:val="000A70BE"/>
    <w:rsid w:val="000A7B5A"/>
    <w:rsid w:val="000B1A18"/>
    <w:rsid w:val="000B5FC9"/>
    <w:rsid w:val="000B64DA"/>
    <w:rsid w:val="000B71B4"/>
    <w:rsid w:val="000C1CE5"/>
    <w:rsid w:val="000C799C"/>
    <w:rsid w:val="000D4508"/>
    <w:rsid w:val="000E0E0B"/>
    <w:rsid w:val="000E3BD1"/>
    <w:rsid w:val="000E45E1"/>
    <w:rsid w:val="000E5342"/>
    <w:rsid w:val="000E788D"/>
    <w:rsid w:val="000F0485"/>
    <w:rsid w:val="000F3021"/>
    <w:rsid w:val="000F37A9"/>
    <w:rsid w:val="000F4944"/>
    <w:rsid w:val="0010048A"/>
    <w:rsid w:val="001048E4"/>
    <w:rsid w:val="001056EA"/>
    <w:rsid w:val="00107EE6"/>
    <w:rsid w:val="00110F43"/>
    <w:rsid w:val="001117F8"/>
    <w:rsid w:val="0011376E"/>
    <w:rsid w:val="0011594D"/>
    <w:rsid w:val="00117289"/>
    <w:rsid w:val="001174D7"/>
    <w:rsid w:val="001204B8"/>
    <w:rsid w:val="001229E8"/>
    <w:rsid w:val="00123B5C"/>
    <w:rsid w:val="00125C9A"/>
    <w:rsid w:val="00130571"/>
    <w:rsid w:val="00130CED"/>
    <w:rsid w:val="00131E20"/>
    <w:rsid w:val="001338FC"/>
    <w:rsid w:val="0014025A"/>
    <w:rsid w:val="00144379"/>
    <w:rsid w:val="00145828"/>
    <w:rsid w:val="001468AB"/>
    <w:rsid w:val="0015131D"/>
    <w:rsid w:val="0015134E"/>
    <w:rsid w:val="00152496"/>
    <w:rsid w:val="00153A48"/>
    <w:rsid w:val="00154C94"/>
    <w:rsid w:val="001567D3"/>
    <w:rsid w:val="00156D1C"/>
    <w:rsid w:val="00157890"/>
    <w:rsid w:val="00163E81"/>
    <w:rsid w:val="00164801"/>
    <w:rsid w:val="0016495B"/>
    <w:rsid w:val="00167504"/>
    <w:rsid w:val="001705AA"/>
    <w:rsid w:val="00172907"/>
    <w:rsid w:val="001742B3"/>
    <w:rsid w:val="00174DB5"/>
    <w:rsid w:val="00175325"/>
    <w:rsid w:val="0017627A"/>
    <w:rsid w:val="00182D09"/>
    <w:rsid w:val="00183606"/>
    <w:rsid w:val="0019239D"/>
    <w:rsid w:val="001A3B8E"/>
    <w:rsid w:val="001A4115"/>
    <w:rsid w:val="001A5214"/>
    <w:rsid w:val="001A5534"/>
    <w:rsid w:val="001B0361"/>
    <w:rsid w:val="001B0C3E"/>
    <w:rsid w:val="001B1EA2"/>
    <w:rsid w:val="001B344A"/>
    <w:rsid w:val="001B4741"/>
    <w:rsid w:val="001B6FE7"/>
    <w:rsid w:val="001C1F7F"/>
    <w:rsid w:val="001D46F7"/>
    <w:rsid w:val="001D79A1"/>
    <w:rsid w:val="001E2652"/>
    <w:rsid w:val="001E28B9"/>
    <w:rsid w:val="001E3AFC"/>
    <w:rsid w:val="001E4607"/>
    <w:rsid w:val="001E49B8"/>
    <w:rsid w:val="001E4BDB"/>
    <w:rsid w:val="001E748A"/>
    <w:rsid w:val="001F0232"/>
    <w:rsid w:val="001F75FB"/>
    <w:rsid w:val="002005E7"/>
    <w:rsid w:val="00202BBA"/>
    <w:rsid w:val="002043FB"/>
    <w:rsid w:val="00210658"/>
    <w:rsid w:val="00211389"/>
    <w:rsid w:val="002122F9"/>
    <w:rsid w:val="002135A9"/>
    <w:rsid w:val="00214D0A"/>
    <w:rsid w:val="00215D41"/>
    <w:rsid w:val="002160BE"/>
    <w:rsid w:val="002166AD"/>
    <w:rsid w:val="002175BF"/>
    <w:rsid w:val="00217B9F"/>
    <w:rsid w:val="00220F4E"/>
    <w:rsid w:val="002226E8"/>
    <w:rsid w:val="0022327D"/>
    <w:rsid w:val="00223668"/>
    <w:rsid w:val="00227880"/>
    <w:rsid w:val="00236684"/>
    <w:rsid w:val="00237ADD"/>
    <w:rsid w:val="002402C3"/>
    <w:rsid w:val="00241C6A"/>
    <w:rsid w:val="0024532E"/>
    <w:rsid w:val="0024576D"/>
    <w:rsid w:val="0024613C"/>
    <w:rsid w:val="00250C44"/>
    <w:rsid w:val="0025114B"/>
    <w:rsid w:val="002540FA"/>
    <w:rsid w:val="00255E33"/>
    <w:rsid w:val="0025637A"/>
    <w:rsid w:val="00264ED5"/>
    <w:rsid w:val="00265B39"/>
    <w:rsid w:val="002660EA"/>
    <w:rsid w:val="00267846"/>
    <w:rsid w:val="002703F2"/>
    <w:rsid w:val="00270912"/>
    <w:rsid w:val="002714F9"/>
    <w:rsid w:val="00276330"/>
    <w:rsid w:val="00293468"/>
    <w:rsid w:val="00296E08"/>
    <w:rsid w:val="002A1141"/>
    <w:rsid w:val="002A2ECF"/>
    <w:rsid w:val="002A39A3"/>
    <w:rsid w:val="002A44A1"/>
    <w:rsid w:val="002A6CE1"/>
    <w:rsid w:val="002A7F23"/>
    <w:rsid w:val="002B3F7C"/>
    <w:rsid w:val="002B42E7"/>
    <w:rsid w:val="002C1794"/>
    <w:rsid w:val="002C2D68"/>
    <w:rsid w:val="002C354A"/>
    <w:rsid w:val="002C4657"/>
    <w:rsid w:val="002C5083"/>
    <w:rsid w:val="002D0E50"/>
    <w:rsid w:val="002D2064"/>
    <w:rsid w:val="002D2713"/>
    <w:rsid w:val="002D2FF7"/>
    <w:rsid w:val="002D3051"/>
    <w:rsid w:val="002D4B72"/>
    <w:rsid w:val="002D5CCD"/>
    <w:rsid w:val="002E0033"/>
    <w:rsid w:val="002E0D6B"/>
    <w:rsid w:val="002E7E82"/>
    <w:rsid w:val="002F07DE"/>
    <w:rsid w:val="002F0E13"/>
    <w:rsid w:val="002F2826"/>
    <w:rsid w:val="002F6D01"/>
    <w:rsid w:val="003044DA"/>
    <w:rsid w:val="003108C7"/>
    <w:rsid w:val="00315D2C"/>
    <w:rsid w:val="00315D8A"/>
    <w:rsid w:val="00323F1B"/>
    <w:rsid w:val="00324718"/>
    <w:rsid w:val="003335A5"/>
    <w:rsid w:val="00337858"/>
    <w:rsid w:val="0034136E"/>
    <w:rsid w:val="00341718"/>
    <w:rsid w:val="00341810"/>
    <w:rsid w:val="00341B36"/>
    <w:rsid w:val="00342BEC"/>
    <w:rsid w:val="00353782"/>
    <w:rsid w:val="00360536"/>
    <w:rsid w:val="003629B4"/>
    <w:rsid w:val="0036399B"/>
    <w:rsid w:val="00364A3C"/>
    <w:rsid w:val="003710D3"/>
    <w:rsid w:val="003744D0"/>
    <w:rsid w:val="00380B1F"/>
    <w:rsid w:val="00383046"/>
    <w:rsid w:val="003861F4"/>
    <w:rsid w:val="00386AA8"/>
    <w:rsid w:val="00387FA2"/>
    <w:rsid w:val="00390812"/>
    <w:rsid w:val="00390986"/>
    <w:rsid w:val="003910B2"/>
    <w:rsid w:val="00396BE0"/>
    <w:rsid w:val="003A0CA9"/>
    <w:rsid w:val="003A17B8"/>
    <w:rsid w:val="003A246F"/>
    <w:rsid w:val="003A3600"/>
    <w:rsid w:val="003A6E5C"/>
    <w:rsid w:val="003B2887"/>
    <w:rsid w:val="003B2A3B"/>
    <w:rsid w:val="003B3EC4"/>
    <w:rsid w:val="003B51C6"/>
    <w:rsid w:val="003C29AF"/>
    <w:rsid w:val="003C530A"/>
    <w:rsid w:val="003C72A6"/>
    <w:rsid w:val="003D35F7"/>
    <w:rsid w:val="003D3DC2"/>
    <w:rsid w:val="003D59F5"/>
    <w:rsid w:val="003E12E9"/>
    <w:rsid w:val="003E4485"/>
    <w:rsid w:val="003E4CBB"/>
    <w:rsid w:val="003E5567"/>
    <w:rsid w:val="003F02A5"/>
    <w:rsid w:val="003F50E8"/>
    <w:rsid w:val="003F5518"/>
    <w:rsid w:val="00400FE4"/>
    <w:rsid w:val="004061FC"/>
    <w:rsid w:val="00407D5D"/>
    <w:rsid w:val="00410339"/>
    <w:rsid w:val="0041052F"/>
    <w:rsid w:val="00412C72"/>
    <w:rsid w:val="004137B4"/>
    <w:rsid w:val="00425D0B"/>
    <w:rsid w:val="004264C6"/>
    <w:rsid w:val="00432293"/>
    <w:rsid w:val="004365A4"/>
    <w:rsid w:val="004369A5"/>
    <w:rsid w:val="004370B9"/>
    <w:rsid w:val="0044109A"/>
    <w:rsid w:val="00445323"/>
    <w:rsid w:val="00445861"/>
    <w:rsid w:val="004512EF"/>
    <w:rsid w:val="00453B0F"/>
    <w:rsid w:val="004569E4"/>
    <w:rsid w:val="00461085"/>
    <w:rsid w:val="00461EF8"/>
    <w:rsid w:val="00465696"/>
    <w:rsid w:val="00466A82"/>
    <w:rsid w:val="00466B30"/>
    <w:rsid w:val="00473F6E"/>
    <w:rsid w:val="00474202"/>
    <w:rsid w:val="00474C86"/>
    <w:rsid w:val="00476FF9"/>
    <w:rsid w:val="0048028E"/>
    <w:rsid w:val="004805F0"/>
    <w:rsid w:val="004854D9"/>
    <w:rsid w:val="00486318"/>
    <w:rsid w:val="00487881"/>
    <w:rsid w:val="004905C0"/>
    <w:rsid w:val="004917C1"/>
    <w:rsid w:val="00492D7A"/>
    <w:rsid w:val="00494339"/>
    <w:rsid w:val="004A0505"/>
    <w:rsid w:val="004A052E"/>
    <w:rsid w:val="004A170C"/>
    <w:rsid w:val="004A62AE"/>
    <w:rsid w:val="004A66DE"/>
    <w:rsid w:val="004B1879"/>
    <w:rsid w:val="004B594C"/>
    <w:rsid w:val="004B7044"/>
    <w:rsid w:val="004B744C"/>
    <w:rsid w:val="004C079A"/>
    <w:rsid w:val="004C0DE1"/>
    <w:rsid w:val="004C1CFA"/>
    <w:rsid w:val="004C5486"/>
    <w:rsid w:val="004C7D13"/>
    <w:rsid w:val="004D0877"/>
    <w:rsid w:val="004D0D67"/>
    <w:rsid w:val="004D750E"/>
    <w:rsid w:val="004E1360"/>
    <w:rsid w:val="004E451D"/>
    <w:rsid w:val="004E5628"/>
    <w:rsid w:val="004E618E"/>
    <w:rsid w:val="004F15B1"/>
    <w:rsid w:val="004F322B"/>
    <w:rsid w:val="004F3A2D"/>
    <w:rsid w:val="004F486F"/>
    <w:rsid w:val="004F7B82"/>
    <w:rsid w:val="00500A3E"/>
    <w:rsid w:val="00501362"/>
    <w:rsid w:val="005058A8"/>
    <w:rsid w:val="00505C14"/>
    <w:rsid w:val="00507123"/>
    <w:rsid w:val="005079AD"/>
    <w:rsid w:val="005113A3"/>
    <w:rsid w:val="00515BF2"/>
    <w:rsid w:val="00516B2B"/>
    <w:rsid w:val="00517C92"/>
    <w:rsid w:val="0052235F"/>
    <w:rsid w:val="0052388C"/>
    <w:rsid w:val="00537F07"/>
    <w:rsid w:val="00543F68"/>
    <w:rsid w:val="00546306"/>
    <w:rsid w:val="005519B8"/>
    <w:rsid w:val="00556034"/>
    <w:rsid w:val="00556292"/>
    <w:rsid w:val="00557129"/>
    <w:rsid w:val="0055724C"/>
    <w:rsid w:val="00562944"/>
    <w:rsid w:val="00562E50"/>
    <w:rsid w:val="0057783D"/>
    <w:rsid w:val="00584B13"/>
    <w:rsid w:val="00585072"/>
    <w:rsid w:val="0058643D"/>
    <w:rsid w:val="00587692"/>
    <w:rsid w:val="00593471"/>
    <w:rsid w:val="005957CA"/>
    <w:rsid w:val="005975A5"/>
    <w:rsid w:val="005A12B3"/>
    <w:rsid w:val="005A2A21"/>
    <w:rsid w:val="005A3968"/>
    <w:rsid w:val="005A39A1"/>
    <w:rsid w:val="005A6FAD"/>
    <w:rsid w:val="005B4639"/>
    <w:rsid w:val="005B5FD7"/>
    <w:rsid w:val="005B7EB8"/>
    <w:rsid w:val="005C1AAF"/>
    <w:rsid w:val="005C7FED"/>
    <w:rsid w:val="005D0A4A"/>
    <w:rsid w:val="005D1825"/>
    <w:rsid w:val="005D3D85"/>
    <w:rsid w:val="005D6378"/>
    <w:rsid w:val="005D6FE5"/>
    <w:rsid w:val="005E037B"/>
    <w:rsid w:val="005E0B5E"/>
    <w:rsid w:val="005E73D2"/>
    <w:rsid w:val="005F194E"/>
    <w:rsid w:val="005F1CAA"/>
    <w:rsid w:val="005F688C"/>
    <w:rsid w:val="005F7776"/>
    <w:rsid w:val="00600DE7"/>
    <w:rsid w:val="00607111"/>
    <w:rsid w:val="00607568"/>
    <w:rsid w:val="00610BFB"/>
    <w:rsid w:val="00611739"/>
    <w:rsid w:val="006117C1"/>
    <w:rsid w:val="00612EFD"/>
    <w:rsid w:val="00613A3E"/>
    <w:rsid w:val="00613EE1"/>
    <w:rsid w:val="00623087"/>
    <w:rsid w:val="00627453"/>
    <w:rsid w:val="006302BE"/>
    <w:rsid w:val="00632118"/>
    <w:rsid w:val="0063221A"/>
    <w:rsid w:val="00634501"/>
    <w:rsid w:val="0063645B"/>
    <w:rsid w:val="0064157D"/>
    <w:rsid w:val="00641905"/>
    <w:rsid w:val="00642004"/>
    <w:rsid w:val="00642658"/>
    <w:rsid w:val="00643FC6"/>
    <w:rsid w:val="00645AC4"/>
    <w:rsid w:val="00652C82"/>
    <w:rsid w:val="00670004"/>
    <w:rsid w:val="00671E2C"/>
    <w:rsid w:val="006726E1"/>
    <w:rsid w:val="00673973"/>
    <w:rsid w:val="00673FCD"/>
    <w:rsid w:val="0068387A"/>
    <w:rsid w:val="006849D3"/>
    <w:rsid w:val="00690A92"/>
    <w:rsid w:val="006952CD"/>
    <w:rsid w:val="006958EF"/>
    <w:rsid w:val="006967A4"/>
    <w:rsid w:val="006A06AA"/>
    <w:rsid w:val="006A4361"/>
    <w:rsid w:val="006A67AD"/>
    <w:rsid w:val="006B1FC6"/>
    <w:rsid w:val="006B21A5"/>
    <w:rsid w:val="006B3B8C"/>
    <w:rsid w:val="006B3FDF"/>
    <w:rsid w:val="006B4D6C"/>
    <w:rsid w:val="006B62F8"/>
    <w:rsid w:val="006B69B7"/>
    <w:rsid w:val="006B7395"/>
    <w:rsid w:val="006C29D0"/>
    <w:rsid w:val="006C46B9"/>
    <w:rsid w:val="006C4E06"/>
    <w:rsid w:val="006C7FF3"/>
    <w:rsid w:val="006D2F72"/>
    <w:rsid w:val="006D5B7A"/>
    <w:rsid w:val="006D603C"/>
    <w:rsid w:val="006D7E50"/>
    <w:rsid w:val="006E064D"/>
    <w:rsid w:val="006E4F2A"/>
    <w:rsid w:val="006F71C7"/>
    <w:rsid w:val="006F78F1"/>
    <w:rsid w:val="006F7A5A"/>
    <w:rsid w:val="0070701F"/>
    <w:rsid w:val="007144FE"/>
    <w:rsid w:val="00716644"/>
    <w:rsid w:val="00717C8A"/>
    <w:rsid w:val="00720764"/>
    <w:rsid w:val="007233DE"/>
    <w:rsid w:val="00725D6D"/>
    <w:rsid w:val="00726A9F"/>
    <w:rsid w:val="00731F76"/>
    <w:rsid w:val="00734AED"/>
    <w:rsid w:val="007508D9"/>
    <w:rsid w:val="00751BA0"/>
    <w:rsid w:val="00752C94"/>
    <w:rsid w:val="00761A1C"/>
    <w:rsid w:val="00767078"/>
    <w:rsid w:val="0077630E"/>
    <w:rsid w:val="00780B23"/>
    <w:rsid w:val="00782DA3"/>
    <w:rsid w:val="0078384A"/>
    <w:rsid w:val="00785169"/>
    <w:rsid w:val="007853BD"/>
    <w:rsid w:val="007866B3"/>
    <w:rsid w:val="00790C86"/>
    <w:rsid w:val="0079395A"/>
    <w:rsid w:val="0079753F"/>
    <w:rsid w:val="007A0EC4"/>
    <w:rsid w:val="007A12A3"/>
    <w:rsid w:val="007A44C3"/>
    <w:rsid w:val="007A6CCA"/>
    <w:rsid w:val="007B0A27"/>
    <w:rsid w:val="007B0E98"/>
    <w:rsid w:val="007B546A"/>
    <w:rsid w:val="007C2154"/>
    <w:rsid w:val="007C3079"/>
    <w:rsid w:val="007C6843"/>
    <w:rsid w:val="007C6A46"/>
    <w:rsid w:val="007C7F7C"/>
    <w:rsid w:val="007D0A85"/>
    <w:rsid w:val="007D556A"/>
    <w:rsid w:val="007D5C50"/>
    <w:rsid w:val="007D743D"/>
    <w:rsid w:val="007D789C"/>
    <w:rsid w:val="007D7A65"/>
    <w:rsid w:val="007E26B4"/>
    <w:rsid w:val="007E723A"/>
    <w:rsid w:val="007F05D9"/>
    <w:rsid w:val="007F5C57"/>
    <w:rsid w:val="00804039"/>
    <w:rsid w:val="0080718D"/>
    <w:rsid w:val="008078EB"/>
    <w:rsid w:val="00814C5E"/>
    <w:rsid w:val="00817A50"/>
    <w:rsid w:val="008201E5"/>
    <w:rsid w:val="008241EF"/>
    <w:rsid w:val="008419CE"/>
    <w:rsid w:val="008446BC"/>
    <w:rsid w:val="00850CEE"/>
    <w:rsid w:val="008544C1"/>
    <w:rsid w:val="00857D4C"/>
    <w:rsid w:val="0086529F"/>
    <w:rsid w:val="008652EE"/>
    <w:rsid w:val="00865CA4"/>
    <w:rsid w:val="00867D31"/>
    <w:rsid w:val="00872950"/>
    <w:rsid w:val="00874E8C"/>
    <w:rsid w:val="00874F28"/>
    <w:rsid w:val="00874F47"/>
    <w:rsid w:val="0087795E"/>
    <w:rsid w:val="00880D1C"/>
    <w:rsid w:val="0088100D"/>
    <w:rsid w:val="00883E95"/>
    <w:rsid w:val="00886131"/>
    <w:rsid w:val="00886D14"/>
    <w:rsid w:val="00893D8A"/>
    <w:rsid w:val="008945B3"/>
    <w:rsid w:val="008952EC"/>
    <w:rsid w:val="008A5A70"/>
    <w:rsid w:val="008A6A5E"/>
    <w:rsid w:val="008A6CF7"/>
    <w:rsid w:val="008B084C"/>
    <w:rsid w:val="008B3E4F"/>
    <w:rsid w:val="008B4342"/>
    <w:rsid w:val="008B6149"/>
    <w:rsid w:val="008B78E6"/>
    <w:rsid w:val="008C07B3"/>
    <w:rsid w:val="008D0B92"/>
    <w:rsid w:val="008D2565"/>
    <w:rsid w:val="008D36B8"/>
    <w:rsid w:val="008D37DB"/>
    <w:rsid w:val="008D3C61"/>
    <w:rsid w:val="008D50DD"/>
    <w:rsid w:val="008E26BC"/>
    <w:rsid w:val="008F025D"/>
    <w:rsid w:val="008F0AEB"/>
    <w:rsid w:val="008F33BA"/>
    <w:rsid w:val="008F4989"/>
    <w:rsid w:val="008F61E7"/>
    <w:rsid w:val="008F6C20"/>
    <w:rsid w:val="008F7039"/>
    <w:rsid w:val="008F764C"/>
    <w:rsid w:val="00902ADA"/>
    <w:rsid w:val="0090666B"/>
    <w:rsid w:val="0090737F"/>
    <w:rsid w:val="0091175E"/>
    <w:rsid w:val="00911C45"/>
    <w:rsid w:val="00911FBD"/>
    <w:rsid w:val="00914478"/>
    <w:rsid w:val="009255CA"/>
    <w:rsid w:val="00930A2C"/>
    <w:rsid w:val="00934107"/>
    <w:rsid w:val="00936326"/>
    <w:rsid w:val="00936F20"/>
    <w:rsid w:val="00940A6E"/>
    <w:rsid w:val="00942742"/>
    <w:rsid w:val="00943305"/>
    <w:rsid w:val="00945BEF"/>
    <w:rsid w:val="0094709C"/>
    <w:rsid w:val="00950296"/>
    <w:rsid w:val="0095325C"/>
    <w:rsid w:val="0095534F"/>
    <w:rsid w:val="009562C3"/>
    <w:rsid w:val="009575F0"/>
    <w:rsid w:val="0096265D"/>
    <w:rsid w:val="00962F12"/>
    <w:rsid w:val="00963E33"/>
    <w:rsid w:val="00973F3E"/>
    <w:rsid w:val="00976018"/>
    <w:rsid w:val="0098242F"/>
    <w:rsid w:val="00984B4A"/>
    <w:rsid w:val="00984B86"/>
    <w:rsid w:val="00986468"/>
    <w:rsid w:val="0098652B"/>
    <w:rsid w:val="00990C2B"/>
    <w:rsid w:val="00991466"/>
    <w:rsid w:val="00993C7A"/>
    <w:rsid w:val="00994006"/>
    <w:rsid w:val="009952D5"/>
    <w:rsid w:val="00996CD8"/>
    <w:rsid w:val="009A5385"/>
    <w:rsid w:val="009A577B"/>
    <w:rsid w:val="009A61FE"/>
    <w:rsid w:val="009B5395"/>
    <w:rsid w:val="009C0341"/>
    <w:rsid w:val="009C218D"/>
    <w:rsid w:val="009D0F7A"/>
    <w:rsid w:val="009D1315"/>
    <w:rsid w:val="009D16DE"/>
    <w:rsid w:val="009D245F"/>
    <w:rsid w:val="009D4663"/>
    <w:rsid w:val="009D7DDA"/>
    <w:rsid w:val="009E2B68"/>
    <w:rsid w:val="009E3871"/>
    <w:rsid w:val="009E49B1"/>
    <w:rsid w:val="009E4AE8"/>
    <w:rsid w:val="009E4C25"/>
    <w:rsid w:val="009E6C1E"/>
    <w:rsid w:val="009E74E0"/>
    <w:rsid w:val="009E764B"/>
    <w:rsid w:val="009F07A2"/>
    <w:rsid w:val="009F3853"/>
    <w:rsid w:val="009F38DA"/>
    <w:rsid w:val="009F49F2"/>
    <w:rsid w:val="009F4B94"/>
    <w:rsid w:val="009F593E"/>
    <w:rsid w:val="009F6517"/>
    <w:rsid w:val="009F780A"/>
    <w:rsid w:val="009F7C98"/>
    <w:rsid w:val="00A0010E"/>
    <w:rsid w:val="00A0087F"/>
    <w:rsid w:val="00A02AC1"/>
    <w:rsid w:val="00A04288"/>
    <w:rsid w:val="00A04388"/>
    <w:rsid w:val="00A046E6"/>
    <w:rsid w:val="00A1060E"/>
    <w:rsid w:val="00A108CC"/>
    <w:rsid w:val="00A13DE6"/>
    <w:rsid w:val="00A16092"/>
    <w:rsid w:val="00A16705"/>
    <w:rsid w:val="00A169F7"/>
    <w:rsid w:val="00A16F49"/>
    <w:rsid w:val="00A20601"/>
    <w:rsid w:val="00A211B3"/>
    <w:rsid w:val="00A25DEA"/>
    <w:rsid w:val="00A26B62"/>
    <w:rsid w:val="00A30E64"/>
    <w:rsid w:val="00A32100"/>
    <w:rsid w:val="00A4073B"/>
    <w:rsid w:val="00A40E23"/>
    <w:rsid w:val="00A41C87"/>
    <w:rsid w:val="00A4777F"/>
    <w:rsid w:val="00A502DC"/>
    <w:rsid w:val="00A52F6C"/>
    <w:rsid w:val="00A571B6"/>
    <w:rsid w:val="00A571D1"/>
    <w:rsid w:val="00A6163C"/>
    <w:rsid w:val="00A64B4B"/>
    <w:rsid w:val="00A71A74"/>
    <w:rsid w:val="00A71B4A"/>
    <w:rsid w:val="00A74CFF"/>
    <w:rsid w:val="00A75241"/>
    <w:rsid w:val="00A7535D"/>
    <w:rsid w:val="00A76D6A"/>
    <w:rsid w:val="00A775A4"/>
    <w:rsid w:val="00A82E29"/>
    <w:rsid w:val="00A8337B"/>
    <w:rsid w:val="00A8382F"/>
    <w:rsid w:val="00A83D03"/>
    <w:rsid w:val="00A85ABD"/>
    <w:rsid w:val="00A90924"/>
    <w:rsid w:val="00A9145F"/>
    <w:rsid w:val="00A9563E"/>
    <w:rsid w:val="00A95926"/>
    <w:rsid w:val="00AA163F"/>
    <w:rsid w:val="00AA1FD5"/>
    <w:rsid w:val="00AA357D"/>
    <w:rsid w:val="00AA3AF2"/>
    <w:rsid w:val="00AB4A99"/>
    <w:rsid w:val="00AC2E30"/>
    <w:rsid w:val="00AC2FE1"/>
    <w:rsid w:val="00AC509C"/>
    <w:rsid w:val="00AC7FC7"/>
    <w:rsid w:val="00AD0167"/>
    <w:rsid w:val="00AD1351"/>
    <w:rsid w:val="00AD17EB"/>
    <w:rsid w:val="00AD266B"/>
    <w:rsid w:val="00AD73FC"/>
    <w:rsid w:val="00AE22B9"/>
    <w:rsid w:val="00AE3A54"/>
    <w:rsid w:val="00AE7D6B"/>
    <w:rsid w:val="00AF0EC5"/>
    <w:rsid w:val="00AF30BA"/>
    <w:rsid w:val="00AF7459"/>
    <w:rsid w:val="00B01D99"/>
    <w:rsid w:val="00B106D9"/>
    <w:rsid w:val="00B12DD1"/>
    <w:rsid w:val="00B1610C"/>
    <w:rsid w:val="00B16B73"/>
    <w:rsid w:val="00B215F4"/>
    <w:rsid w:val="00B221EF"/>
    <w:rsid w:val="00B23B08"/>
    <w:rsid w:val="00B2547E"/>
    <w:rsid w:val="00B300B1"/>
    <w:rsid w:val="00B30C51"/>
    <w:rsid w:val="00B3612C"/>
    <w:rsid w:val="00B46B0E"/>
    <w:rsid w:val="00B50855"/>
    <w:rsid w:val="00B50CC7"/>
    <w:rsid w:val="00B610D4"/>
    <w:rsid w:val="00B614E0"/>
    <w:rsid w:val="00B61ADE"/>
    <w:rsid w:val="00B62B55"/>
    <w:rsid w:val="00B64FB6"/>
    <w:rsid w:val="00B65710"/>
    <w:rsid w:val="00B659C0"/>
    <w:rsid w:val="00B71C7F"/>
    <w:rsid w:val="00B71F74"/>
    <w:rsid w:val="00B72044"/>
    <w:rsid w:val="00B725F6"/>
    <w:rsid w:val="00B753BD"/>
    <w:rsid w:val="00B76BE4"/>
    <w:rsid w:val="00B8114D"/>
    <w:rsid w:val="00B81FD2"/>
    <w:rsid w:val="00B83566"/>
    <w:rsid w:val="00B91C23"/>
    <w:rsid w:val="00BA0DF0"/>
    <w:rsid w:val="00BA6623"/>
    <w:rsid w:val="00BB044F"/>
    <w:rsid w:val="00BB0A46"/>
    <w:rsid w:val="00BB0D37"/>
    <w:rsid w:val="00BB2C6F"/>
    <w:rsid w:val="00BB3B95"/>
    <w:rsid w:val="00BC356F"/>
    <w:rsid w:val="00BC5FE5"/>
    <w:rsid w:val="00BD0F11"/>
    <w:rsid w:val="00BD2766"/>
    <w:rsid w:val="00BD4602"/>
    <w:rsid w:val="00BD49FE"/>
    <w:rsid w:val="00BD617A"/>
    <w:rsid w:val="00BD6449"/>
    <w:rsid w:val="00BE151E"/>
    <w:rsid w:val="00BE1943"/>
    <w:rsid w:val="00BE2AAC"/>
    <w:rsid w:val="00BE321A"/>
    <w:rsid w:val="00BF3402"/>
    <w:rsid w:val="00BF3624"/>
    <w:rsid w:val="00BF4DB3"/>
    <w:rsid w:val="00C00D56"/>
    <w:rsid w:val="00C063BA"/>
    <w:rsid w:val="00C07EA7"/>
    <w:rsid w:val="00C12536"/>
    <w:rsid w:val="00C12D6E"/>
    <w:rsid w:val="00C168A0"/>
    <w:rsid w:val="00C20E79"/>
    <w:rsid w:val="00C218A9"/>
    <w:rsid w:val="00C2795F"/>
    <w:rsid w:val="00C32921"/>
    <w:rsid w:val="00C3325B"/>
    <w:rsid w:val="00C357FC"/>
    <w:rsid w:val="00C520C1"/>
    <w:rsid w:val="00C54F14"/>
    <w:rsid w:val="00C621CB"/>
    <w:rsid w:val="00C65644"/>
    <w:rsid w:val="00C65A35"/>
    <w:rsid w:val="00C6653D"/>
    <w:rsid w:val="00C70393"/>
    <w:rsid w:val="00C70BAF"/>
    <w:rsid w:val="00C72D9B"/>
    <w:rsid w:val="00C72FB1"/>
    <w:rsid w:val="00C75DB2"/>
    <w:rsid w:val="00C82729"/>
    <w:rsid w:val="00C833BC"/>
    <w:rsid w:val="00C87B4A"/>
    <w:rsid w:val="00C92253"/>
    <w:rsid w:val="00C923F2"/>
    <w:rsid w:val="00C93C30"/>
    <w:rsid w:val="00C9510F"/>
    <w:rsid w:val="00C95B8F"/>
    <w:rsid w:val="00CA0693"/>
    <w:rsid w:val="00CA2062"/>
    <w:rsid w:val="00CA2959"/>
    <w:rsid w:val="00CA47BF"/>
    <w:rsid w:val="00CA48A4"/>
    <w:rsid w:val="00CB05D6"/>
    <w:rsid w:val="00CB2B39"/>
    <w:rsid w:val="00CB3C44"/>
    <w:rsid w:val="00CB43E9"/>
    <w:rsid w:val="00CB7A94"/>
    <w:rsid w:val="00CB7BB0"/>
    <w:rsid w:val="00CC079F"/>
    <w:rsid w:val="00CC4894"/>
    <w:rsid w:val="00CD01FB"/>
    <w:rsid w:val="00CD0E58"/>
    <w:rsid w:val="00CD3813"/>
    <w:rsid w:val="00CD5ACF"/>
    <w:rsid w:val="00CE2A7F"/>
    <w:rsid w:val="00CF248E"/>
    <w:rsid w:val="00CF4C01"/>
    <w:rsid w:val="00CF4C13"/>
    <w:rsid w:val="00CF7608"/>
    <w:rsid w:val="00D028F8"/>
    <w:rsid w:val="00D04993"/>
    <w:rsid w:val="00D05A10"/>
    <w:rsid w:val="00D107C9"/>
    <w:rsid w:val="00D110F0"/>
    <w:rsid w:val="00D151E8"/>
    <w:rsid w:val="00D15CC6"/>
    <w:rsid w:val="00D17694"/>
    <w:rsid w:val="00D17907"/>
    <w:rsid w:val="00D17B26"/>
    <w:rsid w:val="00D21C18"/>
    <w:rsid w:val="00D21CA0"/>
    <w:rsid w:val="00D228E5"/>
    <w:rsid w:val="00D2619F"/>
    <w:rsid w:val="00D2633B"/>
    <w:rsid w:val="00D27225"/>
    <w:rsid w:val="00D31DE9"/>
    <w:rsid w:val="00D337E0"/>
    <w:rsid w:val="00D3708C"/>
    <w:rsid w:val="00D41D70"/>
    <w:rsid w:val="00D446D5"/>
    <w:rsid w:val="00D453D1"/>
    <w:rsid w:val="00D46EBA"/>
    <w:rsid w:val="00D508CF"/>
    <w:rsid w:val="00D5106F"/>
    <w:rsid w:val="00D5711F"/>
    <w:rsid w:val="00D61AE5"/>
    <w:rsid w:val="00D63580"/>
    <w:rsid w:val="00D63D52"/>
    <w:rsid w:val="00D7259A"/>
    <w:rsid w:val="00D77B38"/>
    <w:rsid w:val="00D800A5"/>
    <w:rsid w:val="00D848E9"/>
    <w:rsid w:val="00D9337A"/>
    <w:rsid w:val="00D96052"/>
    <w:rsid w:val="00D97F1A"/>
    <w:rsid w:val="00DA4695"/>
    <w:rsid w:val="00DA6D1D"/>
    <w:rsid w:val="00DA7539"/>
    <w:rsid w:val="00DB0176"/>
    <w:rsid w:val="00DB066C"/>
    <w:rsid w:val="00DB18EB"/>
    <w:rsid w:val="00DB208B"/>
    <w:rsid w:val="00DB5275"/>
    <w:rsid w:val="00DB543C"/>
    <w:rsid w:val="00DB57CA"/>
    <w:rsid w:val="00DC352D"/>
    <w:rsid w:val="00DD2B75"/>
    <w:rsid w:val="00DD7696"/>
    <w:rsid w:val="00DE1A95"/>
    <w:rsid w:val="00DE3274"/>
    <w:rsid w:val="00DE42A4"/>
    <w:rsid w:val="00DE5726"/>
    <w:rsid w:val="00DE5FF7"/>
    <w:rsid w:val="00DE7A8E"/>
    <w:rsid w:val="00DF0934"/>
    <w:rsid w:val="00DF26F9"/>
    <w:rsid w:val="00DF2745"/>
    <w:rsid w:val="00DF2B51"/>
    <w:rsid w:val="00DF2CD1"/>
    <w:rsid w:val="00DF67BD"/>
    <w:rsid w:val="00E00108"/>
    <w:rsid w:val="00E005F3"/>
    <w:rsid w:val="00E116FA"/>
    <w:rsid w:val="00E158C7"/>
    <w:rsid w:val="00E16B8A"/>
    <w:rsid w:val="00E16B91"/>
    <w:rsid w:val="00E216D8"/>
    <w:rsid w:val="00E21AA3"/>
    <w:rsid w:val="00E262C1"/>
    <w:rsid w:val="00E31501"/>
    <w:rsid w:val="00E31845"/>
    <w:rsid w:val="00E341BB"/>
    <w:rsid w:val="00E35811"/>
    <w:rsid w:val="00E36322"/>
    <w:rsid w:val="00E41063"/>
    <w:rsid w:val="00E45BC0"/>
    <w:rsid w:val="00E46777"/>
    <w:rsid w:val="00E53792"/>
    <w:rsid w:val="00E53AF2"/>
    <w:rsid w:val="00E57A3E"/>
    <w:rsid w:val="00E61D3D"/>
    <w:rsid w:val="00E62350"/>
    <w:rsid w:val="00E632FC"/>
    <w:rsid w:val="00E636B4"/>
    <w:rsid w:val="00E655DF"/>
    <w:rsid w:val="00E66864"/>
    <w:rsid w:val="00E66973"/>
    <w:rsid w:val="00E66F31"/>
    <w:rsid w:val="00E66F38"/>
    <w:rsid w:val="00E73C6E"/>
    <w:rsid w:val="00E746F8"/>
    <w:rsid w:val="00E80A97"/>
    <w:rsid w:val="00E814D9"/>
    <w:rsid w:val="00E8240A"/>
    <w:rsid w:val="00E83793"/>
    <w:rsid w:val="00E930C4"/>
    <w:rsid w:val="00E93E67"/>
    <w:rsid w:val="00E966C8"/>
    <w:rsid w:val="00EA101F"/>
    <w:rsid w:val="00EA27EC"/>
    <w:rsid w:val="00EA3B7F"/>
    <w:rsid w:val="00EB2F85"/>
    <w:rsid w:val="00EC07C0"/>
    <w:rsid w:val="00EC11ED"/>
    <w:rsid w:val="00EC3DE7"/>
    <w:rsid w:val="00EC4DF3"/>
    <w:rsid w:val="00ED0D15"/>
    <w:rsid w:val="00ED3B1B"/>
    <w:rsid w:val="00EE38C9"/>
    <w:rsid w:val="00EE3B05"/>
    <w:rsid w:val="00EE3E22"/>
    <w:rsid w:val="00EE5643"/>
    <w:rsid w:val="00EE7697"/>
    <w:rsid w:val="00EF0E09"/>
    <w:rsid w:val="00EF4A02"/>
    <w:rsid w:val="00EF4FDB"/>
    <w:rsid w:val="00EF5E2B"/>
    <w:rsid w:val="00F02C0A"/>
    <w:rsid w:val="00F04F26"/>
    <w:rsid w:val="00F0752B"/>
    <w:rsid w:val="00F07DCF"/>
    <w:rsid w:val="00F107CE"/>
    <w:rsid w:val="00F10E23"/>
    <w:rsid w:val="00F111D8"/>
    <w:rsid w:val="00F167B1"/>
    <w:rsid w:val="00F20107"/>
    <w:rsid w:val="00F24323"/>
    <w:rsid w:val="00F2617C"/>
    <w:rsid w:val="00F308B3"/>
    <w:rsid w:val="00F324A9"/>
    <w:rsid w:val="00F35FE4"/>
    <w:rsid w:val="00F3748D"/>
    <w:rsid w:val="00F45A3C"/>
    <w:rsid w:val="00F463B7"/>
    <w:rsid w:val="00F50E39"/>
    <w:rsid w:val="00F52AE6"/>
    <w:rsid w:val="00F532C4"/>
    <w:rsid w:val="00F5384B"/>
    <w:rsid w:val="00F551D0"/>
    <w:rsid w:val="00F6160C"/>
    <w:rsid w:val="00F64702"/>
    <w:rsid w:val="00F64780"/>
    <w:rsid w:val="00F64F91"/>
    <w:rsid w:val="00F65144"/>
    <w:rsid w:val="00F677D6"/>
    <w:rsid w:val="00F67E7F"/>
    <w:rsid w:val="00F71535"/>
    <w:rsid w:val="00F740FD"/>
    <w:rsid w:val="00F80CDC"/>
    <w:rsid w:val="00F823C6"/>
    <w:rsid w:val="00F83277"/>
    <w:rsid w:val="00F85DB6"/>
    <w:rsid w:val="00F874E6"/>
    <w:rsid w:val="00F90A3D"/>
    <w:rsid w:val="00F9105A"/>
    <w:rsid w:val="00F93328"/>
    <w:rsid w:val="00F94ED5"/>
    <w:rsid w:val="00FA075F"/>
    <w:rsid w:val="00FA1452"/>
    <w:rsid w:val="00FA1852"/>
    <w:rsid w:val="00FA1903"/>
    <w:rsid w:val="00FA6F23"/>
    <w:rsid w:val="00FA717D"/>
    <w:rsid w:val="00FA79D3"/>
    <w:rsid w:val="00FC4BB7"/>
    <w:rsid w:val="00FD6903"/>
    <w:rsid w:val="00FD6C02"/>
    <w:rsid w:val="00FD6E3E"/>
    <w:rsid w:val="00FD7C14"/>
    <w:rsid w:val="00FE1178"/>
    <w:rsid w:val="00FE1FF8"/>
    <w:rsid w:val="00FE2D1D"/>
    <w:rsid w:val="00FE5EE0"/>
    <w:rsid w:val="00FE6FF5"/>
    <w:rsid w:val="00FF31A3"/>
    <w:rsid w:val="00FF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A6F997"/>
  <w15:docId w15:val="{5EC5B598-A0CD-437C-ACF7-C13525AB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6BC"/>
    <w:pPr>
      <w:jc w:val="both"/>
    </w:pPr>
    <w:rPr>
      <w:rFonts w:ascii="Arial" w:hAnsi="Arial"/>
      <w:sz w:val="22"/>
    </w:rPr>
  </w:style>
  <w:style w:type="paragraph" w:styleId="Heading1">
    <w:name w:val="heading 1"/>
    <w:basedOn w:val="Normal"/>
    <w:next w:val="Normal"/>
    <w:qFormat/>
    <w:rsid w:val="008446BC"/>
    <w:pPr>
      <w:keepNext/>
      <w:numPr>
        <w:numId w:val="1"/>
      </w:numPr>
      <w:spacing w:after="240"/>
      <w:jc w:val="center"/>
      <w:outlineLvl w:val="0"/>
    </w:pPr>
    <w:rPr>
      <w:b/>
      <w:caps/>
      <w:kern w:val="28"/>
    </w:rPr>
  </w:style>
  <w:style w:type="paragraph" w:styleId="Heading2">
    <w:name w:val="heading 2"/>
    <w:basedOn w:val="Normal"/>
    <w:next w:val="Normal"/>
    <w:qFormat/>
    <w:rsid w:val="008446BC"/>
    <w:pPr>
      <w:keepNext/>
      <w:numPr>
        <w:ilvl w:val="1"/>
        <w:numId w:val="2"/>
      </w:numPr>
      <w:spacing w:after="240"/>
      <w:outlineLvl w:val="1"/>
    </w:pPr>
    <w:rPr>
      <w:b/>
    </w:rPr>
  </w:style>
  <w:style w:type="paragraph" w:styleId="Heading3">
    <w:name w:val="heading 3"/>
    <w:basedOn w:val="Normal"/>
    <w:next w:val="Normal"/>
    <w:qFormat/>
    <w:rsid w:val="008446BC"/>
    <w:pPr>
      <w:keepNext/>
      <w:numPr>
        <w:ilvl w:val="2"/>
        <w:numId w:val="3"/>
      </w:numPr>
      <w:spacing w:after="240"/>
      <w:outlineLvl w:val="2"/>
    </w:pPr>
    <w:rPr>
      <w:b/>
    </w:rPr>
  </w:style>
  <w:style w:type="paragraph" w:styleId="Heading4">
    <w:name w:val="heading 4"/>
    <w:basedOn w:val="Normal"/>
    <w:next w:val="Normal"/>
    <w:qFormat/>
    <w:rsid w:val="008446BC"/>
    <w:pPr>
      <w:keepNext/>
      <w:numPr>
        <w:ilvl w:val="3"/>
        <w:numId w:val="4"/>
      </w:numPr>
      <w:spacing w:after="240"/>
      <w:jc w:val="left"/>
      <w:outlineLvl w:val="3"/>
    </w:pPr>
    <w:rPr>
      <w:b/>
    </w:rPr>
  </w:style>
  <w:style w:type="paragraph" w:styleId="Heading5">
    <w:name w:val="heading 5"/>
    <w:basedOn w:val="Normal"/>
    <w:next w:val="Normal"/>
    <w:qFormat/>
    <w:rsid w:val="008446BC"/>
    <w:pPr>
      <w:numPr>
        <w:ilvl w:val="4"/>
        <w:numId w:val="5"/>
      </w:numPr>
      <w:spacing w:after="240"/>
      <w:outlineLvl w:val="4"/>
    </w:pPr>
    <w:rPr>
      <w:b/>
    </w:rPr>
  </w:style>
  <w:style w:type="paragraph" w:styleId="Heading6">
    <w:name w:val="heading 6"/>
    <w:basedOn w:val="Normal"/>
    <w:next w:val="Normal"/>
    <w:qFormat/>
    <w:rsid w:val="008446BC"/>
    <w:pPr>
      <w:numPr>
        <w:ilvl w:val="5"/>
        <w:numId w:val="6"/>
      </w:numPr>
      <w:spacing w:before="240" w:after="60"/>
      <w:outlineLvl w:val="5"/>
    </w:pPr>
    <w:rPr>
      <w:i/>
    </w:rPr>
  </w:style>
  <w:style w:type="paragraph" w:styleId="Heading7">
    <w:name w:val="heading 7"/>
    <w:basedOn w:val="Normal"/>
    <w:next w:val="Normal"/>
    <w:qFormat/>
    <w:rsid w:val="008446BC"/>
    <w:pPr>
      <w:numPr>
        <w:ilvl w:val="6"/>
        <w:numId w:val="7"/>
      </w:numPr>
      <w:spacing w:before="240" w:after="60"/>
      <w:outlineLvl w:val="6"/>
    </w:pPr>
    <w:rPr>
      <w:sz w:val="20"/>
    </w:rPr>
  </w:style>
  <w:style w:type="paragraph" w:styleId="Heading8">
    <w:name w:val="heading 8"/>
    <w:basedOn w:val="Normal"/>
    <w:next w:val="Normal"/>
    <w:qFormat/>
    <w:rsid w:val="008446BC"/>
    <w:pPr>
      <w:numPr>
        <w:ilvl w:val="7"/>
        <w:numId w:val="8"/>
      </w:numPr>
      <w:spacing w:before="240" w:after="60"/>
      <w:outlineLvl w:val="7"/>
    </w:pPr>
    <w:rPr>
      <w:i/>
      <w:sz w:val="20"/>
    </w:rPr>
  </w:style>
  <w:style w:type="paragraph" w:styleId="Heading9">
    <w:name w:val="heading 9"/>
    <w:basedOn w:val="Normal"/>
    <w:next w:val="Normal"/>
    <w:qFormat/>
    <w:rsid w:val="008446BC"/>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ALTS FOOTNOTE,fn,Footnote Text Char Char,FOOTNOTES,ADB,Fußnote,Footnote Text Char Char Char Char Char Char Char Char Char Char,Footnote Text Char Char Char Char Char Char Char Char Char Char Char Char,Footnote Text2,ft2,f,A"/>
    <w:basedOn w:val="Normal"/>
    <w:link w:val="FootnoteTextChar"/>
    <w:uiPriority w:val="99"/>
    <w:qFormat/>
    <w:rsid w:val="008446BC"/>
    <w:pPr>
      <w:ind w:left="187" w:hanging="187"/>
    </w:pPr>
    <w:rPr>
      <w:color w:val="000000"/>
      <w:sz w:val="18"/>
    </w:rPr>
  </w:style>
  <w:style w:type="character" w:styleId="FootnoteReference">
    <w:name w:val="footnote reference"/>
    <w:aliases w:val="ftref,16 Point,Superscript 6 Point,Ref,de nota al pie,fr,(NECG) Footnote Reference,Fußnotenzeichen DISS,footnote ref,Footnote Reference Number,Footnote Ref in FtNote,BVI fnr,Char Char Char Char Car Char,Footnote text,SUPERS,脚注引用,10 pt"/>
    <w:basedOn w:val="DefaultParagraphFont"/>
    <w:link w:val="ftrefCharChar"/>
    <w:uiPriority w:val="99"/>
    <w:qFormat/>
    <w:rsid w:val="008446BC"/>
    <w:rPr>
      <w:vertAlign w:val="superscript"/>
    </w:rPr>
  </w:style>
  <w:style w:type="paragraph" w:styleId="TOC3">
    <w:name w:val="toc 3"/>
    <w:basedOn w:val="Normal"/>
    <w:next w:val="Normal"/>
    <w:semiHidden/>
    <w:rsid w:val="008446BC"/>
    <w:pPr>
      <w:tabs>
        <w:tab w:val="right" w:pos="9360"/>
      </w:tabs>
      <w:ind w:left="440"/>
      <w:jc w:val="left"/>
    </w:pPr>
    <w:rPr>
      <w:rFonts w:ascii="Times New Roman" w:hAnsi="Times New Roman"/>
      <w:sz w:val="20"/>
    </w:rPr>
  </w:style>
  <w:style w:type="paragraph" w:styleId="TOC1">
    <w:name w:val="toc 1"/>
    <w:basedOn w:val="Normal"/>
    <w:next w:val="Normal"/>
    <w:autoRedefine/>
    <w:semiHidden/>
    <w:rsid w:val="008446BC"/>
    <w:pPr>
      <w:tabs>
        <w:tab w:val="left" w:pos="720"/>
        <w:tab w:val="right" w:pos="9360"/>
      </w:tabs>
      <w:spacing w:before="120" w:after="60"/>
      <w:jc w:val="left"/>
    </w:pPr>
    <w:rPr>
      <w:caps/>
      <w:noProof/>
    </w:rPr>
  </w:style>
  <w:style w:type="paragraph" w:styleId="TOC2">
    <w:name w:val="toc 2"/>
    <w:basedOn w:val="Normal"/>
    <w:next w:val="Normal"/>
    <w:autoRedefine/>
    <w:semiHidden/>
    <w:rsid w:val="008446BC"/>
    <w:pPr>
      <w:tabs>
        <w:tab w:val="left" w:pos="720"/>
        <w:tab w:val="left" w:pos="1440"/>
        <w:tab w:val="right" w:pos="9360"/>
      </w:tabs>
      <w:ind w:left="720"/>
      <w:jc w:val="left"/>
    </w:pPr>
    <w:rPr>
      <w:noProof/>
      <w:color w:val="000000"/>
    </w:rPr>
  </w:style>
  <w:style w:type="paragraph" w:styleId="TOC4">
    <w:name w:val="toc 4"/>
    <w:basedOn w:val="Normal"/>
    <w:next w:val="Normal"/>
    <w:semiHidden/>
    <w:rsid w:val="008446BC"/>
    <w:pPr>
      <w:tabs>
        <w:tab w:val="right" w:pos="9360"/>
      </w:tabs>
      <w:ind w:left="660"/>
      <w:jc w:val="left"/>
    </w:pPr>
    <w:rPr>
      <w:rFonts w:ascii="Times New Roman" w:hAnsi="Times New Roman"/>
      <w:sz w:val="20"/>
    </w:rPr>
  </w:style>
  <w:style w:type="paragraph" w:styleId="TOC5">
    <w:name w:val="toc 5"/>
    <w:basedOn w:val="Normal"/>
    <w:next w:val="Normal"/>
    <w:semiHidden/>
    <w:rsid w:val="008446BC"/>
    <w:pPr>
      <w:tabs>
        <w:tab w:val="right" w:pos="9360"/>
      </w:tabs>
      <w:ind w:left="880"/>
      <w:jc w:val="left"/>
    </w:pPr>
    <w:rPr>
      <w:rFonts w:ascii="Times New Roman" w:hAnsi="Times New Roman"/>
      <w:sz w:val="20"/>
    </w:rPr>
  </w:style>
  <w:style w:type="paragraph" w:styleId="TOC6">
    <w:name w:val="toc 6"/>
    <w:basedOn w:val="Normal"/>
    <w:next w:val="Normal"/>
    <w:semiHidden/>
    <w:rsid w:val="008446BC"/>
    <w:pPr>
      <w:tabs>
        <w:tab w:val="right" w:pos="9360"/>
      </w:tabs>
      <w:ind w:left="1100"/>
      <w:jc w:val="left"/>
    </w:pPr>
    <w:rPr>
      <w:rFonts w:ascii="Times New Roman" w:hAnsi="Times New Roman"/>
      <w:sz w:val="20"/>
    </w:rPr>
  </w:style>
  <w:style w:type="paragraph" w:styleId="TOC7">
    <w:name w:val="toc 7"/>
    <w:basedOn w:val="Normal"/>
    <w:next w:val="Normal"/>
    <w:semiHidden/>
    <w:rsid w:val="008446BC"/>
    <w:pPr>
      <w:tabs>
        <w:tab w:val="right" w:pos="9360"/>
      </w:tabs>
      <w:ind w:left="1320"/>
      <w:jc w:val="left"/>
    </w:pPr>
    <w:rPr>
      <w:rFonts w:ascii="Times New Roman" w:hAnsi="Times New Roman"/>
      <w:sz w:val="20"/>
    </w:rPr>
  </w:style>
  <w:style w:type="paragraph" w:styleId="TOC8">
    <w:name w:val="toc 8"/>
    <w:basedOn w:val="Normal"/>
    <w:next w:val="Normal"/>
    <w:semiHidden/>
    <w:rsid w:val="008446BC"/>
    <w:pPr>
      <w:tabs>
        <w:tab w:val="right" w:pos="9360"/>
      </w:tabs>
      <w:ind w:left="1540"/>
      <w:jc w:val="left"/>
    </w:pPr>
    <w:rPr>
      <w:rFonts w:ascii="Times New Roman" w:hAnsi="Times New Roman"/>
      <w:sz w:val="20"/>
    </w:rPr>
  </w:style>
  <w:style w:type="paragraph" w:styleId="TOC9">
    <w:name w:val="toc 9"/>
    <w:basedOn w:val="Normal"/>
    <w:next w:val="Normal"/>
    <w:semiHidden/>
    <w:rsid w:val="008446BC"/>
    <w:pPr>
      <w:tabs>
        <w:tab w:val="right" w:pos="9360"/>
      </w:tabs>
      <w:ind w:left="1760"/>
      <w:jc w:val="left"/>
    </w:pPr>
    <w:rPr>
      <w:rFonts w:ascii="Times New Roman" w:hAnsi="Times New Roman"/>
      <w:sz w:val="20"/>
    </w:rPr>
  </w:style>
  <w:style w:type="paragraph" w:styleId="Header">
    <w:name w:val="header"/>
    <w:basedOn w:val="Normal"/>
    <w:link w:val="HeaderChar"/>
    <w:rsid w:val="008446BC"/>
    <w:pPr>
      <w:tabs>
        <w:tab w:val="center" w:pos="4320"/>
        <w:tab w:val="right" w:pos="8640"/>
      </w:tabs>
      <w:jc w:val="center"/>
    </w:pPr>
  </w:style>
  <w:style w:type="paragraph" w:styleId="Footer">
    <w:name w:val="footer"/>
    <w:basedOn w:val="Normal"/>
    <w:link w:val="FooterChar"/>
    <w:rsid w:val="008446BC"/>
    <w:pPr>
      <w:tabs>
        <w:tab w:val="center" w:pos="4320"/>
        <w:tab w:val="right" w:pos="8640"/>
      </w:tabs>
    </w:pPr>
  </w:style>
  <w:style w:type="character" w:styleId="PageNumber">
    <w:name w:val="page number"/>
    <w:basedOn w:val="DefaultParagraphFont"/>
    <w:rsid w:val="008446BC"/>
  </w:style>
  <w:style w:type="character" w:customStyle="1" w:styleId="MajorHeadin">
    <w:name w:val="Major Headin"/>
    <w:basedOn w:val="DefaultParagraphFont"/>
    <w:rsid w:val="008446BC"/>
  </w:style>
  <w:style w:type="paragraph" w:customStyle="1" w:styleId="EndnoteText1">
    <w:name w:val="Endnote Text1"/>
    <w:basedOn w:val="Normal"/>
    <w:rsid w:val="008446BC"/>
    <w:pPr>
      <w:jc w:val="left"/>
    </w:pPr>
    <w:rPr>
      <w:sz w:val="24"/>
    </w:rPr>
  </w:style>
  <w:style w:type="paragraph" w:customStyle="1" w:styleId="RightPar1">
    <w:name w:val="Right Par 1"/>
    <w:rsid w:val="008446BC"/>
    <w:pPr>
      <w:tabs>
        <w:tab w:val="left" w:pos="-720"/>
        <w:tab w:val="left" w:pos="0"/>
        <w:tab w:val="decimal" w:pos="720"/>
      </w:tabs>
      <w:ind w:left="720"/>
    </w:pPr>
    <w:rPr>
      <w:rFonts w:ascii="Swiss 721 Roman" w:hAnsi="Swiss 721 Roman"/>
      <w:sz w:val="18"/>
    </w:rPr>
  </w:style>
  <w:style w:type="paragraph" w:customStyle="1" w:styleId="RightPar2">
    <w:name w:val="Right Par 2"/>
    <w:rsid w:val="008446BC"/>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8446BC"/>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8446BC"/>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8446BC"/>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8446BC"/>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8446BC"/>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8446BC"/>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Document1">
    <w:name w:val="Document 1"/>
    <w:rsid w:val="008446BC"/>
    <w:pPr>
      <w:keepNext/>
      <w:keepLines/>
      <w:tabs>
        <w:tab w:val="left" w:pos="-720"/>
      </w:tabs>
    </w:pPr>
    <w:rPr>
      <w:rFonts w:ascii="Swiss 721 Roman" w:hAnsi="Swiss 721 Roman"/>
      <w:sz w:val="18"/>
    </w:rPr>
  </w:style>
  <w:style w:type="paragraph" w:customStyle="1" w:styleId="Technical5">
    <w:name w:val="Technical 5"/>
    <w:rsid w:val="008446BC"/>
    <w:pPr>
      <w:tabs>
        <w:tab w:val="left" w:pos="-720"/>
      </w:tabs>
      <w:ind w:firstLine="720"/>
    </w:pPr>
    <w:rPr>
      <w:rFonts w:ascii="Swiss 721 Roman" w:hAnsi="Swiss 721 Roman"/>
      <w:b/>
      <w:sz w:val="18"/>
    </w:rPr>
  </w:style>
  <w:style w:type="paragraph" w:customStyle="1" w:styleId="Technical6">
    <w:name w:val="Technical 6"/>
    <w:rsid w:val="008446BC"/>
    <w:pPr>
      <w:tabs>
        <w:tab w:val="left" w:pos="-720"/>
      </w:tabs>
      <w:ind w:firstLine="720"/>
    </w:pPr>
    <w:rPr>
      <w:rFonts w:ascii="Swiss 721 Roman" w:hAnsi="Swiss 721 Roman"/>
      <w:b/>
      <w:sz w:val="18"/>
    </w:rPr>
  </w:style>
  <w:style w:type="paragraph" w:customStyle="1" w:styleId="Technical4">
    <w:name w:val="Technical 4"/>
    <w:rsid w:val="008446BC"/>
    <w:pPr>
      <w:tabs>
        <w:tab w:val="left" w:pos="-720"/>
      </w:tabs>
    </w:pPr>
    <w:rPr>
      <w:rFonts w:ascii="Swiss 721 Roman" w:hAnsi="Swiss 721 Roman"/>
      <w:b/>
      <w:sz w:val="18"/>
    </w:rPr>
  </w:style>
  <w:style w:type="paragraph" w:customStyle="1" w:styleId="Technical7">
    <w:name w:val="Technical 7"/>
    <w:rsid w:val="008446BC"/>
    <w:pPr>
      <w:tabs>
        <w:tab w:val="left" w:pos="-720"/>
      </w:tabs>
      <w:ind w:firstLine="720"/>
    </w:pPr>
    <w:rPr>
      <w:rFonts w:ascii="Swiss 721 Roman" w:hAnsi="Swiss 721 Roman"/>
      <w:b/>
      <w:sz w:val="18"/>
    </w:rPr>
  </w:style>
  <w:style w:type="paragraph" w:customStyle="1" w:styleId="Technical8">
    <w:name w:val="Technical 8"/>
    <w:rsid w:val="008446BC"/>
    <w:pPr>
      <w:tabs>
        <w:tab w:val="left" w:pos="-720"/>
      </w:tabs>
      <w:ind w:firstLine="720"/>
    </w:pPr>
    <w:rPr>
      <w:rFonts w:ascii="Swiss 721 Roman" w:hAnsi="Swiss 721 Roman"/>
      <w:b/>
      <w:sz w:val="18"/>
    </w:rPr>
  </w:style>
  <w:style w:type="paragraph" w:customStyle="1" w:styleId="TOC91">
    <w:name w:val="TOC 91"/>
    <w:basedOn w:val="Normal"/>
    <w:next w:val="Normal"/>
    <w:rsid w:val="008446BC"/>
    <w:pPr>
      <w:tabs>
        <w:tab w:val="right" w:leader="dot" w:pos="9360"/>
      </w:tabs>
      <w:ind w:left="720" w:hanging="720"/>
      <w:jc w:val="left"/>
    </w:pPr>
  </w:style>
  <w:style w:type="paragraph" w:customStyle="1" w:styleId="TOAHeading1">
    <w:name w:val="TOA Heading1"/>
    <w:basedOn w:val="Normal"/>
    <w:next w:val="Normal"/>
    <w:rsid w:val="008446BC"/>
    <w:pPr>
      <w:tabs>
        <w:tab w:val="right" w:pos="9360"/>
      </w:tabs>
      <w:jc w:val="left"/>
    </w:pPr>
  </w:style>
  <w:style w:type="paragraph" w:customStyle="1" w:styleId="Caption1">
    <w:name w:val="Caption1"/>
    <w:basedOn w:val="Normal"/>
    <w:next w:val="Normal"/>
    <w:rsid w:val="008446BC"/>
    <w:pPr>
      <w:jc w:val="left"/>
    </w:pPr>
    <w:rPr>
      <w:sz w:val="24"/>
    </w:rPr>
  </w:style>
  <w:style w:type="paragraph" w:customStyle="1" w:styleId="TA">
    <w:name w:val="TA"/>
    <w:rsid w:val="008446BC"/>
    <w:pPr>
      <w:jc w:val="both"/>
    </w:pPr>
    <w:rPr>
      <w:rFonts w:ascii="Arial" w:hAnsi="Arial"/>
      <w:sz w:val="22"/>
    </w:rPr>
  </w:style>
  <w:style w:type="paragraph" w:customStyle="1" w:styleId="TA1">
    <w:name w:val="TA1"/>
    <w:rsid w:val="008446BC"/>
    <w:pPr>
      <w:jc w:val="both"/>
    </w:pPr>
    <w:rPr>
      <w:rFonts w:ascii="Arial" w:hAnsi="Arial"/>
      <w:sz w:val="22"/>
    </w:rPr>
  </w:style>
  <w:style w:type="paragraph" w:customStyle="1" w:styleId="para">
    <w:name w:val="para"/>
    <w:rsid w:val="008446BC"/>
    <w:pPr>
      <w:jc w:val="both"/>
    </w:pPr>
    <w:rPr>
      <w:rFonts w:ascii="Arial" w:hAnsi="Arial"/>
      <w:sz w:val="22"/>
    </w:rPr>
  </w:style>
  <w:style w:type="paragraph" w:customStyle="1" w:styleId="ta0">
    <w:name w:val="ta"/>
    <w:rsid w:val="008446BC"/>
    <w:pPr>
      <w:jc w:val="both"/>
    </w:pPr>
    <w:rPr>
      <w:rFonts w:ascii="Arial" w:hAnsi="Arial"/>
      <w:sz w:val="22"/>
    </w:rPr>
  </w:style>
  <w:style w:type="paragraph" w:styleId="EndnoteText">
    <w:name w:val="endnote text"/>
    <w:basedOn w:val="Normal"/>
    <w:semiHidden/>
    <w:rsid w:val="008446BC"/>
    <w:rPr>
      <w:sz w:val="20"/>
    </w:rPr>
  </w:style>
  <w:style w:type="character" w:styleId="EndnoteReference">
    <w:name w:val="endnote reference"/>
    <w:basedOn w:val="DefaultParagraphFont"/>
    <w:semiHidden/>
    <w:rsid w:val="008446BC"/>
    <w:rPr>
      <w:vertAlign w:val="superscript"/>
    </w:rPr>
  </w:style>
  <w:style w:type="paragraph" w:styleId="TOAHeading">
    <w:name w:val="toa heading"/>
    <w:basedOn w:val="Normal"/>
    <w:next w:val="Normal"/>
    <w:semiHidden/>
    <w:rsid w:val="008446BC"/>
    <w:pPr>
      <w:tabs>
        <w:tab w:val="right" w:pos="9360"/>
      </w:tabs>
      <w:jc w:val="left"/>
    </w:pPr>
  </w:style>
  <w:style w:type="paragraph" w:styleId="Caption">
    <w:name w:val="caption"/>
    <w:basedOn w:val="Normal"/>
    <w:next w:val="Normal"/>
    <w:qFormat/>
    <w:rsid w:val="008446BC"/>
    <w:pPr>
      <w:jc w:val="left"/>
    </w:pPr>
    <w:rPr>
      <w:sz w:val="24"/>
    </w:rPr>
  </w:style>
  <w:style w:type="paragraph" w:styleId="BodyTextIndent">
    <w:name w:val="Body Text Indent"/>
    <w:basedOn w:val="Normal"/>
    <w:rsid w:val="008446BC"/>
    <w:rPr>
      <w:color w:val="FF0000"/>
    </w:rPr>
  </w:style>
  <w:style w:type="paragraph" w:styleId="BodyText">
    <w:name w:val="Body Text"/>
    <w:basedOn w:val="Normal"/>
    <w:rsid w:val="008446BC"/>
    <w:rPr>
      <w:b/>
    </w:rPr>
  </w:style>
  <w:style w:type="paragraph" w:styleId="BodyText3">
    <w:name w:val="Body Text 3"/>
    <w:basedOn w:val="Normal"/>
    <w:rsid w:val="008446BC"/>
    <w:rPr>
      <w:b/>
      <w:color w:val="0000FF"/>
    </w:rPr>
  </w:style>
  <w:style w:type="paragraph" w:styleId="BodyText2">
    <w:name w:val="Body Text 2"/>
    <w:basedOn w:val="Normal"/>
    <w:rsid w:val="008446BC"/>
    <w:rPr>
      <w:rFonts w:ascii="Helv" w:hAnsi="Helv"/>
      <w:snapToGrid w:val="0"/>
      <w:color w:val="000000"/>
    </w:rPr>
  </w:style>
  <w:style w:type="paragraph" w:styleId="Title">
    <w:name w:val="Title"/>
    <w:basedOn w:val="Normal"/>
    <w:link w:val="TitleChar"/>
    <w:qFormat/>
    <w:rsid w:val="008446BC"/>
    <w:pPr>
      <w:jc w:val="center"/>
    </w:pPr>
    <w:rPr>
      <w:rFonts w:ascii="Times New Roman" w:hAnsi="Times New Roman"/>
      <w:b/>
      <w:color w:val="0000FF"/>
      <w:sz w:val="34"/>
    </w:rPr>
  </w:style>
  <w:style w:type="paragraph" w:customStyle="1" w:styleId="PPAR1">
    <w:name w:val="PPAR1"/>
    <w:basedOn w:val="Normal"/>
    <w:rsid w:val="008446BC"/>
    <w:pPr>
      <w:keepNext/>
      <w:spacing w:before="120" w:after="120"/>
      <w:jc w:val="center"/>
    </w:pPr>
    <w:rPr>
      <w:b/>
      <w:caps/>
    </w:rPr>
  </w:style>
  <w:style w:type="paragraph" w:styleId="BodyTextIndent2">
    <w:name w:val="Body Text Indent 2"/>
    <w:basedOn w:val="Normal"/>
    <w:rsid w:val="008446BC"/>
    <w:pPr>
      <w:ind w:left="-360"/>
    </w:pPr>
    <w:rPr>
      <w:color w:val="FF0000"/>
    </w:rPr>
  </w:style>
  <w:style w:type="paragraph" w:styleId="BalloonText">
    <w:name w:val="Balloon Text"/>
    <w:basedOn w:val="Normal"/>
    <w:semiHidden/>
    <w:rsid w:val="00D96052"/>
    <w:rPr>
      <w:rFonts w:ascii="Tahoma" w:hAnsi="Tahoma" w:cs="Tahoma"/>
      <w:sz w:val="16"/>
      <w:szCs w:val="16"/>
    </w:rPr>
  </w:style>
  <w:style w:type="table" w:styleId="TableGrid">
    <w:name w:val="Table Grid"/>
    <w:basedOn w:val="TableNormal"/>
    <w:uiPriority w:val="39"/>
    <w:rsid w:val="009D13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C72D9B"/>
    <w:rPr>
      <w:rFonts w:ascii="Arial" w:hAnsi="Arial"/>
      <w:sz w:val="22"/>
    </w:rPr>
  </w:style>
  <w:style w:type="character" w:customStyle="1" w:styleId="FootnoteTextChar">
    <w:name w:val="Footnote Text Char"/>
    <w:aliases w:val="single space Char,ft Char,ALTS FOOTNOTE Char,fn Char,Footnote Text Char Char Char,FOOTNOTES Char,ADB Char,Fußnote Char,Footnote Text Char Char Char Char Char Char Char Char Char Char Char,Footnote Text2 Char,ft2 Char,f Char,A Char"/>
    <w:basedOn w:val="DefaultParagraphFont"/>
    <w:link w:val="FootnoteText"/>
    <w:uiPriority w:val="99"/>
    <w:qFormat/>
    <w:rsid w:val="0070701F"/>
    <w:rPr>
      <w:rFonts w:ascii="Arial" w:hAnsi="Arial"/>
      <w:color w:val="000000"/>
      <w:sz w:val="18"/>
    </w:rPr>
  </w:style>
  <w:style w:type="paragraph" w:styleId="ListParagraph">
    <w:name w:val="List Paragraph"/>
    <w:aliases w:val="Akapit z listą BS,List Paragraph 1,NUMBERED PARAGRAPH,References,Paragraph,CPS,List_Paragraph,Multilevel para_II,ADB List Paragraph,Colorful List - Accent 11,List Paragraph1,Recommendation,List Paragraph11,Bulleted List Paragraph,Bullets"/>
    <w:basedOn w:val="Normal"/>
    <w:link w:val="ListParagraphChar"/>
    <w:uiPriority w:val="34"/>
    <w:qFormat/>
    <w:rsid w:val="0070701F"/>
    <w:pPr>
      <w:ind w:left="720"/>
      <w:contextualSpacing/>
    </w:pPr>
  </w:style>
  <w:style w:type="character" w:customStyle="1" w:styleId="ListParagraphChar">
    <w:name w:val="List Paragraph Char"/>
    <w:aliases w:val="Akapit z listą BS Char,List Paragraph 1 Char,NUMBERED PARAGRAPH Char,References Char,Paragraph Char,CPS Char,List_Paragraph Char,Multilevel para_II Char,ADB List Paragraph Char,Colorful List - Accent 11 Char,List Paragraph1 Char"/>
    <w:link w:val="ListParagraph"/>
    <w:uiPriority w:val="34"/>
    <w:qFormat/>
    <w:rsid w:val="00587692"/>
    <w:rPr>
      <w:rFonts w:ascii="Arial" w:hAnsi="Arial"/>
      <w:sz w:val="22"/>
    </w:rPr>
  </w:style>
  <w:style w:type="character" w:styleId="Hyperlink">
    <w:name w:val="Hyperlink"/>
    <w:basedOn w:val="DefaultParagraphFont"/>
    <w:uiPriority w:val="99"/>
    <w:unhideWhenUsed/>
    <w:rsid w:val="00BB0A46"/>
    <w:rPr>
      <w:color w:val="0000FF"/>
      <w:u w:val="single"/>
    </w:rPr>
  </w:style>
  <w:style w:type="paragraph" w:styleId="NoSpacing">
    <w:name w:val="No Spacing"/>
    <w:uiPriority w:val="1"/>
    <w:qFormat/>
    <w:rsid w:val="00BB0A46"/>
    <w:rPr>
      <w:rFonts w:ascii="Calibri" w:eastAsia="Calibri" w:hAnsi="Calibri"/>
      <w:sz w:val="22"/>
      <w:szCs w:val="22"/>
    </w:rPr>
  </w:style>
  <w:style w:type="character" w:customStyle="1" w:styleId="rvts56328">
    <w:name w:val="rvts56328"/>
    <w:basedOn w:val="DefaultParagraphFont"/>
    <w:rsid w:val="00BB0A46"/>
  </w:style>
  <w:style w:type="character" w:styleId="Strong">
    <w:name w:val="Strong"/>
    <w:basedOn w:val="DefaultParagraphFont"/>
    <w:uiPriority w:val="22"/>
    <w:qFormat/>
    <w:rsid w:val="00BB0A46"/>
    <w:rPr>
      <w:b/>
      <w:bCs/>
    </w:rPr>
  </w:style>
  <w:style w:type="paragraph" w:customStyle="1" w:styleId="Default">
    <w:name w:val="Default"/>
    <w:rsid w:val="006A06AA"/>
    <w:pPr>
      <w:autoSpaceDE w:val="0"/>
      <w:autoSpaceDN w:val="0"/>
      <w:adjustRightInd w:val="0"/>
    </w:pPr>
    <w:rPr>
      <w:rFonts w:ascii="Garamond" w:hAnsi="Garamond" w:cs="Garamond"/>
      <w:color w:val="000000"/>
      <w:sz w:val="24"/>
      <w:szCs w:val="24"/>
    </w:rPr>
  </w:style>
  <w:style w:type="character" w:customStyle="1" w:styleId="apple-converted-space">
    <w:name w:val="apple-converted-space"/>
    <w:basedOn w:val="DefaultParagraphFont"/>
    <w:rsid w:val="006B3FDF"/>
  </w:style>
  <w:style w:type="character" w:customStyle="1" w:styleId="TitleChar">
    <w:name w:val="Title Char"/>
    <w:basedOn w:val="DefaultParagraphFont"/>
    <w:link w:val="Title"/>
    <w:rsid w:val="00CD0E58"/>
    <w:rPr>
      <w:b/>
      <w:color w:val="0000FF"/>
      <w:sz w:val="34"/>
    </w:rPr>
  </w:style>
  <w:style w:type="character" w:customStyle="1" w:styleId="apple-tab-span">
    <w:name w:val="apple-tab-span"/>
    <w:basedOn w:val="DefaultParagraphFont"/>
    <w:rsid w:val="00D21C18"/>
  </w:style>
  <w:style w:type="numbering" w:customStyle="1" w:styleId="Style1">
    <w:name w:val="Style1"/>
    <w:uiPriority w:val="99"/>
    <w:rsid w:val="002540FA"/>
    <w:pPr>
      <w:numPr>
        <w:numId w:val="10"/>
      </w:numPr>
    </w:pPr>
  </w:style>
  <w:style w:type="numbering" w:customStyle="1" w:styleId="Style2">
    <w:name w:val="Style2"/>
    <w:uiPriority w:val="99"/>
    <w:rsid w:val="002540FA"/>
    <w:pPr>
      <w:numPr>
        <w:numId w:val="11"/>
      </w:numPr>
    </w:pPr>
  </w:style>
  <w:style w:type="paragraph" w:customStyle="1" w:styleId="TableParagraph">
    <w:name w:val="Table Paragraph"/>
    <w:basedOn w:val="Normal"/>
    <w:uiPriority w:val="1"/>
    <w:qFormat/>
    <w:rsid w:val="00BB3B95"/>
    <w:pPr>
      <w:widowControl w:val="0"/>
      <w:autoSpaceDE w:val="0"/>
      <w:autoSpaceDN w:val="0"/>
      <w:adjustRightInd w:val="0"/>
      <w:jc w:val="left"/>
    </w:pPr>
    <w:rPr>
      <w:rFonts w:ascii="Times New Roman" w:hAnsi="Times New Roman"/>
      <w:sz w:val="24"/>
      <w:szCs w:val="24"/>
    </w:rPr>
  </w:style>
  <w:style w:type="paragraph" w:customStyle="1" w:styleId="ftrefCharChar">
    <w:name w:val="ftref Char Char"/>
    <w:aliases w:val="fr Char Char,ftref Char1 Char Char,fr Char Char Char,ftref Char,fr Char,ftref Char1 Char,ftref Знак Char Char"/>
    <w:basedOn w:val="Normal"/>
    <w:link w:val="FootnoteReference"/>
    <w:rsid w:val="00D61AE5"/>
    <w:pPr>
      <w:spacing w:after="160" w:line="240" w:lineRule="exact"/>
      <w:jc w:val="left"/>
    </w:pPr>
    <w:rPr>
      <w:rFonts w:ascii="Times New Roman" w:hAnsi="Times New Roman"/>
      <w:sz w:val="20"/>
      <w:vertAlign w:val="superscript"/>
    </w:rPr>
  </w:style>
  <w:style w:type="table" w:customStyle="1" w:styleId="TableGrid1">
    <w:name w:val="Table Grid1"/>
    <w:basedOn w:val="TableNormal"/>
    <w:next w:val="TableGrid"/>
    <w:uiPriority w:val="39"/>
    <w:rsid w:val="004E61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9D16DE"/>
    <w:rPr>
      <w:sz w:val="16"/>
      <w:szCs w:val="16"/>
    </w:rPr>
  </w:style>
  <w:style w:type="paragraph" w:styleId="CommentText">
    <w:name w:val="annotation text"/>
    <w:basedOn w:val="Normal"/>
    <w:link w:val="CommentTextChar"/>
    <w:semiHidden/>
    <w:unhideWhenUsed/>
    <w:rsid w:val="009D16DE"/>
    <w:rPr>
      <w:sz w:val="20"/>
    </w:rPr>
  </w:style>
  <w:style w:type="character" w:customStyle="1" w:styleId="CommentTextChar">
    <w:name w:val="Comment Text Char"/>
    <w:basedOn w:val="DefaultParagraphFont"/>
    <w:link w:val="CommentText"/>
    <w:semiHidden/>
    <w:rsid w:val="009D16DE"/>
    <w:rPr>
      <w:rFonts w:ascii="Arial" w:hAnsi="Arial"/>
    </w:rPr>
  </w:style>
  <w:style w:type="paragraph" w:styleId="CommentSubject">
    <w:name w:val="annotation subject"/>
    <w:basedOn w:val="CommentText"/>
    <w:next w:val="CommentText"/>
    <w:link w:val="CommentSubjectChar"/>
    <w:semiHidden/>
    <w:unhideWhenUsed/>
    <w:rsid w:val="009D16DE"/>
    <w:rPr>
      <w:b/>
      <w:bCs/>
    </w:rPr>
  </w:style>
  <w:style w:type="character" w:customStyle="1" w:styleId="CommentSubjectChar">
    <w:name w:val="Comment Subject Char"/>
    <w:basedOn w:val="CommentTextChar"/>
    <w:link w:val="CommentSubject"/>
    <w:semiHidden/>
    <w:rsid w:val="009D16DE"/>
    <w:rPr>
      <w:rFonts w:ascii="Arial" w:hAnsi="Arial"/>
      <w:b/>
      <w:bCs/>
    </w:rPr>
  </w:style>
  <w:style w:type="table" w:customStyle="1" w:styleId="TableGrid2">
    <w:name w:val="Table Grid2"/>
    <w:basedOn w:val="TableNormal"/>
    <w:next w:val="TableGrid"/>
    <w:uiPriority w:val="39"/>
    <w:rsid w:val="00081592"/>
    <w:pPr>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51C6"/>
    <w:pPr>
      <w:spacing w:before="100" w:beforeAutospacing="1" w:after="100" w:afterAutospacing="1"/>
      <w:jc w:val="left"/>
    </w:pPr>
    <w:rPr>
      <w:rFonts w:ascii="Calibri" w:eastAsiaTheme="minorHAnsi" w:hAnsi="Calibri" w:cs="Calibri"/>
      <w:szCs w:val="22"/>
    </w:rPr>
  </w:style>
  <w:style w:type="paragraph" w:customStyle="1" w:styleId="BVIfnrCarCar1">
    <w:name w:val="BVI fnr Car Car1"/>
    <w:aliases w:val="BVI fnr Car1,BVI fnr Car Car Car Car, BVI fnr, BVI fnr Car Car,BVI fnr Car Car,BVI fnr Car,BVI fnr Car Car Char,BVI fnr Car Car Car Car Char,BVI fnr Car Car Car Car Char Char Char,BVI fnr Char Char"/>
    <w:basedOn w:val="Normal"/>
    <w:uiPriority w:val="99"/>
    <w:rsid w:val="00BF3402"/>
    <w:pPr>
      <w:spacing w:after="160" w:line="240" w:lineRule="exact"/>
      <w:jc w:val="left"/>
    </w:pPr>
    <w:rPr>
      <w:rFonts w:eastAsia="SimSun"/>
      <w:szCs w:val="22"/>
      <w:vertAlign w:val="superscript"/>
    </w:rPr>
  </w:style>
  <w:style w:type="character" w:customStyle="1" w:styleId="FooterChar">
    <w:name w:val="Footer Char"/>
    <w:basedOn w:val="DefaultParagraphFont"/>
    <w:link w:val="Footer"/>
    <w:uiPriority w:val="99"/>
    <w:rsid w:val="00315D2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2927">
      <w:bodyDiv w:val="1"/>
      <w:marLeft w:val="0"/>
      <w:marRight w:val="0"/>
      <w:marTop w:val="0"/>
      <w:marBottom w:val="0"/>
      <w:divBdr>
        <w:top w:val="none" w:sz="0" w:space="0" w:color="auto"/>
        <w:left w:val="none" w:sz="0" w:space="0" w:color="auto"/>
        <w:bottom w:val="none" w:sz="0" w:space="0" w:color="auto"/>
        <w:right w:val="none" w:sz="0" w:space="0" w:color="auto"/>
      </w:divBdr>
      <w:divsChild>
        <w:div w:id="5331277">
          <w:marLeft w:val="0"/>
          <w:marRight w:val="0"/>
          <w:marTop w:val="0"/>
          <w:marBottom w:val="0"/>
          <w:divBdr>
            <w:top w:val="none" w:sz="0" w:space="0" w:color="auto"/>
            <w:left w:val="none" w:sz="0" w:space="0" w:color="auto"/>
            <w:bottom w:val="none" w:sz="0" w:space="0" w:color="auto"/>
            <w:right w:val="none" w:sz="0" w:space="0" w:color="auto"/>
          </w:divBdr>
        </w:div>
        <w:div w:id="1062409413">
          <w:marLeft w:val="0"/>
          <w:marRight w:val="0"/>
          <w:marTop w:val="0"/>
          <w:marBottom w:val="0"/>
          <w:divBdr>
            <w:top w:val="none" w:sz="0" w:space="0" w:color="auto"/>
            <w:left w:val="none" w:sz="0" w:space="0" w:color="auto"/>
            <w:bottom w:val="none" w:sz="0" w:space="0" w:color="auto"/>
            <w:right w:val="none" w:sz="0" w:space="0" w:color="auto"/>
          </w:divBdr>
        </w:div>
        <w:div w:id="1790934538">
          <w:marLeft w:val="0"/>
          <w:marRight w:val="0"/>
          <w:marTop w:val="0"/>
          <w:marBottom w:val="0"/>
          <w:divBdr>
            <w:top w:val="none" w:sz="0" w:space="0" w:color="auto"/>
            <w:left w:val="none" w:sz="0" w:space="0" w:color="auto"/>
            <w:bottom w:val="none" w:sz="0" w:space="0" w:color="auto"/>
            <w:right w:val="none" w:sz="0" w:space="0" w:color="auto"/>
          </w:divBdr>
        </w:div>
      </w:divsChild>
    </w:div>
    <w:div w:id="427580569">
      <w:bodyDiv w:val="1"/>
      <w:marLeft w:val="0"/>
      <w:marRight w:val="0"/>
      <w:marTop w:val="0"/>
      <w:marBottom w:val="0"/>
      <w:divBdr>
        <w:top w:val="none" w:sz="0" w:space="0" w:color="auto"/>
        <w:left w:val="none" w:sz="0" w:space="0" w:color="auto"/>
        <w:bottom w:val="none" w:sz="0" w:space="0" w:color="auto"/>
        <w:right w:val="none" w:sz="0" w:space="0" w:color="auto"/>
      </w:divBdr>
    </w:div>
    <w:div w:id="489101802">
      <w:bodyDiv w:val="1"/>
      <w:marLeft w:val="0"/>
      <w:marRight w:val="0"/>
      <w:marTop w:val="0"/>
      <w:marBottom w:val="0"/>
      <w:divBdr>
        <w:top w:val="none" w:sz="0" w:space="0" w:color="auto"/>
        <w:left w:val="none" w:sz="0" w:space="0" w:color="auto"/>
        <w:bottom w:val="none" w:sz="0" w:space="0" w:color="auto"/>
        <w:right w:val="none" w:sz="0" w:space="0" w:color="auto"/>
      </w:divBdr>
    </w:div>
    <w:div w:id="700059236">
      <w:bodyDiv w:val="1"/>
      <w:marLeft w:val="0"/>
      <w:marRight w:val="0"/>
      <w:marTop w:val="0"/>
      <w:marBottom w:val="0"/>
      <w:divBdr>
        <w:top w:val="none" w:sz="0" w:space="0" w:color="auto"/>
        <w:left w:val="none" w:sz="0" w:space="0" w:color="auto"/>
        <w:bottom w:val="none" w:sz="0" w:space="0" w:color="auto"/>
        <w:right w:val="none" w:sz="0" w:space="0" w:color="auto"/>
      </w:divBdr>
      <w:divsChild>
        <w:div w:id="1968580814">
          <w:marLeft w:val="0"/>
          <w:marRight w:val="0"/>
          <w:marTop w:val="0"/>
          <w:marBottom w:val="0"/>
          <w:divBdr>
            <w:top w:val="none" w:sz="0" w:space="0" w:color="auto"/>
            <w:left w:val="none" w:sz="0" w:space="0" w:color="auto"/>
            <w:bottom w:val="none" w:sz="0" w:space="0" w:color="auto"/>
            <w:right w:val="none" w:sz="0" w:space="0" w:color="auto"/>
          </w:divBdr>
        </w:div>
        <w:div w:id="2095390953">
          <w:marLeft w:val="0"/>
          <w:marRight w:val="0"/>
          <w:marTop w:val="0"/>
          <w:marBottom w:val="0"/>
          <w:divBdr>
            <w:top w:val="none" w:sz="0" w:space="0" w:color="auto"/>
            <w:left w:val="none" w:sz="0" w:space="0" w:color="auto"/>
            <w:bottom w:val="none" w:sz="0" w:space="0" w:color="auto"/>
            <w:right w:val="none" w:sz="0" w:space="0" w:color="auto"/>
          </w:divBdr>
        </w:div>
      </w:divsChild>
    </w:div>
    <w:div w:id="719323226">
      <w:bodyDiv w:val="1"/>
      <w:marLeft w:val="0"/>
      <w:marRight w:val="0"/>
      <w:marTop w:val="0"/>
      <w:marBottom w:val="0"/>
      <w:divBdr>
        <w:top w:val="none" w:sz="0" w:space="0" w:color="auto"/>
        <w:left w:val="none" w:sz="0" w:space="0" w:color="auto"/>
        <w:bottom w:val="none" w:sz="0" w:space="0" w:color="auto"/>
        <w:right w:val="none" w:sz="0" w:space="0" w:color="auto"/>
      </w:divBdr>
      <w:divsChild>
        <w:div w:id="1249846436">
          <w:marLeft w:val="0"/>
          <w:marRight w:val="0"/>
          <w:marTop w:val="0"/>
          <w:marBottom w:val="0"/>
          <w:divBdr>
            <w:top w:val="none" w:sz="0" w:space="0" w:color="auto"/>
            <w:left w:val="none" w:sz="0" w:space="0" w:color="auto"/>
            <w:bottom w:val="none" w:sz="0" w:space="0" w:color="auto"/>
            <w:right w:val="none" w:sz="0" w:space="0" w:color="auto"/>
          </w:divBdr>
        </w:div>
      </w:divsChild>
    </w:div>
    <w:div w:id="754976861">
      <w:bodyDiv w:val="1"/>
      <w:marLeft w:val="0"/>
      <w:marRight w:val="0"/>
      <w:marTop w:val="0"/>
      <w:marBottom w:val="0"/>
      <w:divBdr>
        <w:top w:val="none" w:sz="0" w:space="0" w:color="auto"/>
        <w:left w:val="none" w:sz="0" w:space="0" w:color="auto"/>
        <w:bottom w:val="none" w:sz="0" w:space="0" w:color="auto"/>
        <w:right w:val="none" w:sz="0" w:space="0" w:color="auto"/>
      </w:divBdr>
      <w:divsChild>
        <w:div w:id="587424076">
          <w:marLeft w:val="0"/>
          <w:marRight w:val="0"/>
          <w:marTop w:val="0"/>
          <w:marBottom w:val="0"/>
          <w:divBdr>
            <w:top w:val="none" w:sz="0" w:space="0" w:color="auto"/>
            <w:left w:val="none" w:sz="0" w:space="0" w:color="auto"/>
            <w:bottom w:val="none" w:sz="0" w:space="0" w:color="auto"/>
            <w:right w:val="none" w:sz="0" w:space="0" w:color="auto"/>
          </w:divBdr>
        </w:div>
        <w:div w:id="1105148526">
          <w:marLeft w:val="0"/>
          <w:marRight w:val="0"/>
          <w:marTop w:val="0"/>
          <w:marBottom w:val="0"/>
          <w:divBdr>
            <w:top w:val="none" w:sz="0" w:space="0" w:color="auto"/>
            <w:left w:val="none" w:sz="0" w:space="0" w:color="auto"/>
            <w:bottom w:val="none" w:sz="0" w:space="0" w:color="auto"/>
            <w:right w:val="none" w:sz="0" w:space="0" w:color="auto"/>
          </w:divBdr>
        </w:div>
      </w:divsChild>
    </w:div>
    <w:div w:id="978002360">
      <w:bodyDiv w:val="1"/>
      <w:marLeft w:val="0"/>
      <w:marRight w:val="0"/>
      <w:marTop w:val="0"/>
      <w:marBottom w:val="0"/>
      <w:divBdr>
        <w:top w:val="none" w:sz="0" w:space="0" w:color="auto"/>
        <w:left w:val="none" w:sz="0" w:space="0" w:color="auto"/>
        <w:bottom w:val="none" w:sz="0" w:space="0" w:color="auto"/>
        <w:right w:val="none" w:sz="0" w:space="0" w:color="auto"/>
      </w:divBdr>
      <w:divsChild>
        <w:div w:id="145587152">
          <w:marLeft w:val="0"/>
          <w:marRight w:val="0"/>
          <w:marTop w:val="0"/>
          <w:marBottom w:val="0"/>
          <w:divBdr>
            <w:top w:val="none" w:sz="0" w:space="0" w:color="auto"/>
            <w:left w:val="none" w:sz="0" w:space="0" w:color="auto"/>
            <w:bottom w:val="none" w:sz="0" w:space="0" w:color="auto"/>
            <w:right w:val="none" w:sz="0" w:space="0" w:color="auto"/>
          </w:divBdr>
        </w:div>
        <w:div w:id="400757379">
          <w:marLeft w:val="0"/>
          <w:marRight w:val="0"/>
          <w:marTop w:val="0"/>
          <w:marBottom w:val="0"/>
          <w:divBdr>
            <w:top w:val="none" w:sz="0" w:space="0" w:color="auto"/>
            <w:left w:val="none" w:sz="0" w:space="0" w:color="auto"/>
            <w:bottom w:val="none" w:sz="0" w:space="0" w:color="auto"/>
            <w:right w:val="none" w:sz="0" w:space="0" w:color="auto"/>
          </w:divBdr>
        </w:div>
        <w:div w:id="680206869">
          <w:marLeft w:val="0"/>
          <w:marRight w:val="0"/>
          <w:marTop w:val="0"/>
          <w:marBottom w:val="0"/>
          <w:divBdr>
            <w:top w:val="none" w:sz="0" w:space="0" w:color="auto"/>
            <w:left w:val="none" w:sz="0" w:space="0" w:color="auto"/>
            <w:bottom w:val="none" w:sz="0" w:space="0" w:color="auto"/>
            <w:right w:val="none" w:sz="0" w:space="0" w:color="auto"/>
          </w:divBdr>
        </w:div>
        <w:div w:id="860122477">
          <w:marLeft w:val="0"/>
          <w:marRight w:val="0"/>
          <w:marTop w:val="0"/>
          <w:marBottom w:val="0"/>
          <w:divBdr>
            <w:top w:val="none" w:sz="0" w:space="0" w:color="auto"/>
            <w:left w:val="none" w:sz="0" w:space="0" w:color="auto"/>
            <w:bottom w:val="none" w:sz="0" w:space="0" w:color="auto"/>
            <w:right w:val="none" w:sz="0" w:space="0" w:color="auto"/>
          </w:divBdr>
        </w:div>
        <w:div w:id="1393847208">
          <w:marLeft w:val="0"/>
          <w:marRight w:val="0"/>
          <w:marTop w:val="0"/>
          <w:marBottom w:val="0"/>
          <w:divBdr>
            <w:top w:val="none" w:sz="0" w:space="0" w:color="auto"/>
            <w:left w:val="none" w:sz="0" w:space="0" w:color="auto"/>
            <w:bottom w:val="none" w:sz="0" w:space="0" w:color="auto"/>
            <w:right w:val="none" w:sz="0" w:space="0" w:color="auto"/>
          </w:divBdr>
        </w:div>
        <w:div w:id="2117749079">
          <w:marLeft w:val="0"/>
          <w:marRight w:val="0"/>
          <w:marTop w:val="0"/>
          <w:marBottom w:val="0"/>
          <w:divBdr>
            <w:top w:val="none" w:sz="0" w:space="0" w:color="auto"/>
            <w:left w:val="none" w:sz="0" w:space="0" w:color="auto"/>
            <w:bottom w:val="none" w:sz="0" w:space="0" w:color="auto"/>
            <w:right w:val="none" w:sz="0" w:space="0" w:color="auto"/>
          </w:divBdr>
        </w:div>
      </w:divsChild>
    </w:div>
    <w:div w:id="995063435">
      <w:bodyDiv w:val="1"/>
      <w:marLeft w:val="0"/>
      <w:marRight w:val="0"/>
      <w:marTop w:val="0"/>
      <w:marBottom w:val="0"/>
      <w:divBdr>
        <w:top w:val="none" w:sz="0" w:space="0" w:color="auto"/>
        <w:left w:val="none" w:sz="0" w:space="0" w:color="auto"/>
        <w:bottom w:val="none" w:sz="0" w:space="0" w:color="auto"/>
        <w:right w:val="none" w:sz="0" w:space="0" w:color="auto"/>
      </w:divBdr>
      <w:divsChild>
        <w:div w:id="558856529">
          <w:marLeft w:val="0"/>
          <w:marRight w:val="0"/>
          <w:marTop w:val="0"/>
          <w:marBottom w:val="0"/>
          <w:divBdr>
            <w:top w:val="none" w:sz="0" w:space="0" w:color="auto"/>
            <w:left w:val="none" w:sz="0" w:space="0" w:color="auto"/>
            <w:bottom w:val="none" w:sz="0" w:space="0" w:color="auto"/>
            <w:right w:val="none" w:sz="0" w:space="0" w:color="auto"/>
          </w:divBdr>
        </w:div>
      </w:divsChild>
    </w:div>
    <w:div w:id="1186751432">
      <w:bodyDiv w:val="1"/>
      <w:marLeft w:val="0"/>
      <w:marRight w:val="0"/>
      <w:marTop w:val="0"/>
      <w:marBottom w:val="0"/>
      <w:divBdr>
        <w:top w:val="none" w:sz="0" w:space="0" w:color="auto"/>
        <w:left w:val="none" w:sz="0" w:space="0" w:color="auto"/>
        <w:bottom w:val="none" w:sz="0" w:space="0" w:color="auto"/>
        <w:right w:val="none" w:sz="0" w:space="0" w:color="auto"/>
      </w:divBdr>
    </w:div>
    <w:div w:id="1202012264">
      <w:bodyDiv w:val="1"/>
      <w:marLeft w:val="0"/>
      <w:marRight w:val="0"/>
      <w:marTop w:val="0"/>
      <w:marBottom w:val="0"/>
      <w:divBdr>
        <w:top w:val="none" w:sz="0" w:space="0" w:color="auto"/>
        <w:left w:val="none" w:sz="0" w:space="0" w:color="auto"/>
        <w:bottom w:val="none" w:sz="0" w:space="0" w:color="auto"/>
        <w:right w:val="none" w:sz="0" w:space="0" w:color="auto"/>
      </w:divBdr>
      <w:divsChild>
        <w:div w:id="226502233">
          <w:marLeft w:val="0"/>
          <w:marRight w:val="0"/>
          <w:marTop w:val="0"/>
          <w:marBottom w:val="0"/>
          <w:divBdr>
            <w:top w:val="none" w:sz="0" w:space="0" w:color="auto"/>
            <w:left w:val="none" w:sz="0" w:space="0" w:color="auto"/>
            <w:bottom w:val="none" w:sz="0" w:space="0" w:color="auto"/>
            <w:right w:val="none" w:sz="0" w:space="0" w:color="auto"/>
          </w:divBdr>
        </w:div>
        <w:div w:id="509756636">
          <w:marLeft w:val="0"/>
          <w:marRight w:val="0"/>
          <w:marTop w:val="0"/>
          <w:marBottom w:val="0"/>
          <w:divBdr>
            <w:top w:val="none" w:sz="0" w:space="0" w:color="auto"/>
            <w:left w:val="none" w:sz="0" w:space="0" w:color="auto"/>
            <w:bottom w:val="none" w:sz="0" w:space="0" w:color="auto"/>
            <w:right w:val="none" w:sz="0" w:space="0" w:color="auto"/>
          </w:divBdr>
        </w:div>
        <w:div w:id="958606576">
          <w:marLeft w:val="0"/>
          <w:marRight w:val="0"/>
          <w:marTop w:val="0"/>
          <w:marBottom w:val="0"/>
          <w:divBdr>
            <w:top w:val="none" w:sz="0" w:space="0" w:color="auto"/>
            <w:left w:val="none" w:sz="0" w:space="0" w:color="auto"/>
            <w:bottom w:val="none" w:sz="0" w:space="0" w:color="auto"/>
            <w:right w:val="none" w:sz="0" w:space="0" w:color="auto"/>
          </w:divBdr>
        </w:div>
      </w:divsChild>
    </w:div>
    <w:div w:id="1243174898">
      <w:bodyDiv w:val="1"/>
      <w:marLeft w:val="0"/>
      <w:marRight w:val="0"/>
      <w:marTop w:val="0"/>
      <w:marBottom w:val="0"/>
      <w:divBdr>
        <w:top w:val="none" w:sz="0" w:space="0" w:color="auto"/>
        <w:left w:val="none" w:sz="0" w:space="0" w:color="auto"/>
        <w:bottom w:val="none" w:sz="0" w:space="0" w:color="auto"/>
        <w:right w:val="none" w:sz="0" w:space="0" w:color="auto"/>
      </w:divBdr>
      <w:divsChild>
        <w:div w:id="178857561">
          <w:marLeft w:val="0"/>
          <w:marRight w:val="0"/>
          <w:marTop w:val="0"/>
          <w:marBottom w:val="0"/>
          <w:divBdr>
            <w:top w:val="none" w:sz="0" w:space="0" w:color="auto"/>
            <w:left w:val="none" w:sz="0" w:space="0" w:color="auto"/>
            <w:bottom w:val="none" w:sz="0" w:space="0" w:color="auto"/>
            <w:right w:val="none" w:sz="0" w:space="0" w:color="auto"/>
          </w:divBdr>
          <w:divsChild>
            <w:div w:id="1008748115">
              <w:marLeft w:val="0"/>
              <w:marRight w:val="0"/>
              <w:marTop w:val="0"/>
              <w:marBottom w:val="0"/>
              <w:divBdr>
                <w:top w:val="none" w:sz="0" w:space="0" w:color="auto"/>
                <w:left w:val="none" w:sz="0" w:space="0" w:color="auto"/>
                <w:bottom w:val="none" w:sz="0" w:space="0" w:color="auto"/>
                <w:right w:val="none" w:sz="0" w:space="0" w:color="auto"/>
              </w:divBdr>
              <w:divsChild>
                <w:div w:id="714230917">
                  <w:marLeft w:val="0"/>
                  <w:marRight w:val="0"/>
                  <w:marTop w:val="0"/>
                  <w:marBottom w:val="0"/>
                  <w:divBdr>
                    <w:top w:val="none" w:sz="0" w:space="0" w:color="auto"/>
                    <w:left w:val="none" w:sz="0" w:space="0" w:color="auto"/>
                    <w:bottom w:val="none" w:sz="0" w:space="0" w:color="auto"/>
                    <w:right w:val="none" w:sz="0" w:space="0" w:color="auto"/>
                  </w:divBdr>
                  <w:divsChild>
                    <w:div w:id="1766532673">
                      <w:marLeft w:val="0"/>
                      <w:marRight w:val="0"/>
                      <w:marTop w:val="0"/>
                      <w:marBottom w:val="0"/>
                      <w:divBdr>
                        <w:top w:val="none" w:sz="0" w:space="0" w:color="auto"/>
                        <w:left w:val="none" w:sz="0" w:space="0" w:color="auto"/>
                        <w:bottom w:val="none" w:sz="0" w:space="0" w:color="auto"/>
                        <w:right w:val="none" w:sz="0" w:space="0" w:color="auto"/>
                      </w:divBdr>
                      <w:divsChild>
                        <w:div w:id="1549144855">
                          <w:marLeft w:val="0"/>
                          <w:marRight w:val="0"/>
                          <w:marTop w:val="0"/>
                          <w:marBottom w:val="0"/>
                          <w:divBdr>
                            <w:top w:val="none" w:sz="0" w:space="0" w:color="auto"/>
                            <w:left w:val="none" w:sz="0" w:space="0" w:color="auto"/>
                            <w:bottom w:val="none" w:sz="0" w:space="0" w:color="auto"/>
                            <w:right w:val="none" w:sz="0" w:space="0" w:color="auto"/>
                          </w:divBdr>
                          <w:divsChild>
                            <w:div w:id="508177597">
                              <w:marLeft w:val="0"/>
                              <w:marRight w:val="0"/>
                              <w:marTop w:val="0"/>
                              <w:marBottom w:val="0"/>
                              <w:divBdr>
                                <w:top w:val="none" w:sz="0" w:space="0" w:color="auto"/>
                                <w:left w:val="none" w:sz="0" w:space="0" w:color="auto"/>
                                <w:bottom w:val="none" w:sz="0" w:space="0" w:color="auto"/>
                                <w:right w:val="none" w:sz="0" w:space="0" w:color="auto"/>
                              </w:divBdr>
                              <w:divsChild>
                                <w:div w:id="429661450">
                                  <w:marLeft w:val="0"/>
                                  <w:marRight w:val="0"/>
                                  <w:marTop w:val="0"/>
                                  <w:marBottom w:val="0"/>
                                  <w:divBdr>
                                    <w:top w:val="none" w:sz="0" w:space="0" w:color="auto"/>
                                    <w:left w:val="none" w:sz="0" w:space="0" w:color="auto"/>
                                    <w:bottom w:val="none" w:sz="0" w:space="0" w:color="auto"/>
                                    <w:right w:val="none" w:sz="0" w:space="0" w:color="auto"/>
                                  </w:divBdr>
                                  <w:divsChild>
                                    <w:div w:id="1152872710">
                                      <w:marLeft w:val="0"/>
                                      <w:marRight w:val="0"/>
                                      <w:marTop w:val="0"/>
                                      <w:marBottom w:val="0"/>
                                      <w:divBdr>
                                        <w:top w:val="none" w:sz="0" w:space="0" w:color="auto"/>
                                        <w:left w:val="none" w:sz="0" w:space="0" w:color="auto"/>
                                        <w:bottom w:val="none" w:sz="0" w:space="0" w:color="auto"/>
                                        <w:right w:val="none" w:sz="0" w:space="0" w:color="auto"/>
                                      </w:divBdr>
                                      <w:divsChild>
                                        <w:div w:id="358969837">
                                          <w:marLeft w:val="0"/>
                                          <w:marRight w:val="0"/>
                                          <w:marTop w:val="0"/>
                                          <w:marBottom w:val="0"/>
                                          <w:divBdr>
                                            <w:top w:val="none" w:sz="0" w:space="0" w:color="auto"/>
                                            <w:left w:val="none" w:sz="0" w:space="0" w:color="auto"/>
                                            <w:bottom w:val="none" w:sz="0" w:space="0" w:color="auto"/>
                                            <w:right w:val="none" w:sz="0" w:space="0" w:color="auto"/>
                                          </w:divBdr>
                                          <w:divsChild>
                                            <w:div w:id="707493083">
                                              <w:marLeft w:val="0"/>
                                              <w:marRight w:val="0"/>
                                              <w:marTop w:val="0"/>
                                              <w:marBottom w:val="0"/>
                                              <w:divBdr>
                                                <w:top w:val="none" w:sz="0" w:space="0" w:color="auto"/>
                                                <w:left w:val="none" w:sz="0" w:space="0" w:color="auto"/>
                                                <w:bottom w:val="none" w:sz="0" w:space="0" w:color="auto"/>
                                                <w:right w:val="none" w:sz="0" w:space="0" w:color="auto"/>
                                              </w:divBdr>
                                              <w:divsChild>
                                                <w:div w:id="2125731759">
                                                  <w:marLeft w:val="0"/>
                                                  <w:marRight w:val="0"/>
                                                  <w:marTop w:val="0"/>
                                                  <w:marBottom w:val="0"/>
                                                  <w:divBdr>
                                                    <w:top w:val="none" w:sz="0" w:space="0" w:color="auto"/>
                                                    <w:left w:val="none" w:sz="0" w:space="0" w:color="auto"/>
                                                    <w:bottom w:val="none" w:sz="0" w:space="0" w:color="auto"/>
                                                    <w:right w:val="none" w:sz="0" w:space="0" w:color="auto"/>
                                                  </w:divBdr>
                                                  <w:divsChild>
                                                    <w:div w:id="89741698">
                                                      <w:marLeft w:val="0"/>
                                                      <w:marRight w:val="0"/>
                                                      <w:marTop w:val="0"/>
                                                      <w:marBottom w:val="0"/>
                                                      <w:divBdr>
                                                        <w:top w:val="none" w:sz="0" w:space="0" w:color="auto"/>
                                                        <w:left w:val="none" w:sz="0" w:space="0" w:color="auto"/>
                                                        <w:bottom w:val="none" w:sz="0" w:space="0" w:color="auto"/>
                                                        <w:right w:val="none" w:sz="0" w:space="0" w:color="auto"/>
                                                      </w:divBdr>
                                                      <w:divsChild>
                                                        <w:div w:id="1055200724">
                                                          <w:marLeft w:val="0"/>
                                                          <w:marRight w:val="0"/>
                                                          <w:marTop w:val="0"/>
                                                          <w:marBottom w:val="0"/>
                                                          <w:divBdr>
                                                            <w:top w:val="none" w:sz="0" w:space="0" w:color="auto"/>
                                                            <w:left w:val="none" w:sz="0" w:space="0" w:color="auto"/>
                                                            <w:bottom w:val="none" w:sz="0" w:space="0" w:color="auto"/>
                                                            <w:right w:val="none" w:sz="0" w:space="0" w:color="auto"/>
                                                          </w:divBdr>
                                                          <w:divsChild>
                                                            <w:div w:id="428162554">
                                                              <w:marLeft w:val="0"/>
                                                              <w:marRight w:val="0"/>
                                                              <w:marTop w:val="0"/>
                                                              <w:marBottom w:val="0"/>
                                                              <w:divBdr>
                                                                <w:top w:val="none" w:sz="0" w:space="0" w:color="auto"/>
                                                                <w:left w:val="none" w:sz="0" w:space="0" w:color="auto"/>
                                                                <w:bottom w:val="none" w:sz="0" w:space="0" w:color="auto"/>
                                                                <w:right w:val="none" w:sz="0" w:space="0" w:color="auto"/>
                                                              </w:divBdr>
                                                              <w:divsChild>
                                                                <w:div w:id="209728850">
                                                                  <w:marLeft w:val="0"/>
                                                                  <w:marRight w:val="0"/>
                                                                  <w:marTop w:val="0"/>
                                                                  <w:marBottom w:val="0"/>
                                                                  <w:divBdr>
                                                                    <w:top w:val="none" w:sz="0" w:space="0" w:color="auto"/>
                                                                    <w:left w:val="none" w:sz="0" w:space="0" w:color="auto"/>
                                                                    <w:bottom w:val="none" w:sz="0" w:space="0" w:color="auto"/>
                                                                    <w:right w:val="none" w:sz="0" w:space="0" w:color="auto"/>
                                                                  </w:divBdr>
                                                                  <w:divsChild>
                                                                    <w:div w:id="2069262975">
                                                                      <w:marLeft w:val="0"/>
                                                                      <w:marRight w:val="0"/>
                                                                      <w:marTop w:val="0"/>
                                                                      <w:marBottom w:val="0"/>
                                                                      <w:divBdr>
                                                                        <w:top w:val="none" w:sz="0" w:space="0" w:color="auto"/>
                                                                        <w:left w:val="none" w:sz="0" w:space="0" w:color="auto"/>
                                                                        <w:bottom w:val="none" w:sz="0" w:space="0" w:color="auto"/>
                                                                        <w:right w:val="none" w:sz="0" w:space="0" w:color="auto"/>
                                                                      </w:divBdr>
                                                                      <w:divsChild>
                                                                        <w:div w:id="533423021">
                                                                          <w:marLeft w:val="0"/>
                                                                          <w:marRight w:val="0"/>
                                                                          <w:marTop w:val="0"/>
                                                                          <w:marBottom w:val="0"/>
                                                                          <w:divBdr>
                                                                            <w:top w:val="none" w:sz="0" w:space="0" w:color="auto"/>
                                                                            <w:left w:val="none" w:sz="0" w:space="0" w:color="auto"/>
                                                                            <w:bottom w:val="none" w:sz="0" w:space="0" w:color="auto"/>
                                                                            <w:right w:val="none" w:sz="0" w:space="0" w:color="auto"/>
                                                                          </w:divBdr>
                                                                          <w:divsChild>
                                                                            <w:div w:id="748847014">
                                                                              <w:marLeft w:val="0"/>
                                                                              <w:marRight w:val="0"/>
                                                                              <w:marTop w:val="0"/>
                                                                              <w:marBottom w:val="0"/>
                                                                              <w:divBdr>
                                                                                <w:top w:val="none" w:sz="0" w:space="0" w:color="auto"/>
                                                                                <w:left w:val="none" w:sz="0" w:space="0" w:color="auto"/>
                                                                                <w:bottom w:val="none" w:sz="0" w:space="0" w:color="auto"/>
                                                                                <w:right w:val="none" w:sz="0" w:space="0" w:color="auto"/>
                                                                              </w:divBdr>
                                                                              <w:divsChild>
                                                                                <w:div w:id="1421830366">
                                                                                  <w:marLeft w:val="0"/>
                                                                                  <w:marRight w:val="0"/>
                                                                                  <w:marTop w:val="0"/>
                                                                                  <w:marBottom w:val="0"/>
                                                                                  <w:divBdr>
                                                                                    <w:top w:val="none" w:sz="0" w:space="0" w:color="auto"/>
                                                                                    <w:left w:val="none" w:sz="0" w:space="0" w:color="auto"/>
                                                                                    <w:bottom w:val="none" w:sz="0" w:space="0" w:color="auto"/>
                                                                                    <w:right w:val="none" w:sz="0" w:space="0" w:color="auto"/>
                                                                                  </w:divBdr>
                                                                                  <w:divsChild>
                                                                                    <w:div w:id="1785802771">
                                                                                      <w:marLeft w:val="0"/>
                                                                                      <w:marRight w:val="0"/>
                                                                                      <w:marTop w:val="0"/>
                                                                                      <w:marBottom w:val="0"/>
                                                                                      <w:divBdr>
                                                                                        <w:top w:val="none" w:sz="0" w:space="0" w:color="auto"/>
                                                                                        <w:left w:val="none" w:sz="0" w:space="0" w:color="auto"/>
                                                                                        <w:bottom w:val="none" w:sz="0" w:space="0" w:color="auto"/>
                                                                                        <w:right w:val="none" w:sz="0" w:space="0" w:color="auto"/>
                                                                                      </w:divBdr>
                                                                                      <w:divsChild>
                                                                                        <w:div w:id="184751602">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4845914">
      <w:bodyDiv w:val="1"/>
      <w:marLeft w:val="0"/>
      <w:marRight w:val="0"/>
      <w:marTop w:val="0"/>
      <w:marBottom w:val="0"/>
      <w:divBdr>
        <w:top w:val="none" w:sz="0" w:space="0" w:color="auto"/>
        <w:left w:val="none" w:sz="0" w:space="0" w:color="auto"/>
        <w:bottom w:val="none" w:sz="0" w:space="0" w:color="auto"/>
        <w:right w:val="none" w:sz="0" w:space="0" w:color="auto"/>
      </w:divBdr>
      <w:divsChild>
        <w:div w:id="849417343">
          <w:marLeft w:val="0"/>
          <w:marRight w:val="0"/>
          <w:marTop w:val="0"/>
          <w:marBottom w:val="0"/>
          <w:divBdr>
            <w:top w:val="none" w:sz="0" w:space="0" w:color="auto"/>
            <w:left w:val="none" w:sz="0" w:space="0" w:color="auto"/>
            <w:bottom w:val="none" w:sz="0" w:space="0" w:color="auto"/>
            <w:right w:val="none" w:sz="0" w:space="0" w:color="auto"/>
          </w:divBdr>
          <w:divsChild>
            <w:div w:id="968776461">
              <w:marLeft w:val="0"/>
              <w:marRight w:val="0"/>
              <w:marTop w:val="0"/>
              <w:marBottom w:val="0"/>
              <w:divBdr>
                <w:top w:val="none" w:sz="0" w:space="0" w:color="auto"/>
                <w:left w:val="none" w:sz="0" w:space="0" w:color="auto"/>
                <w:bottom w:val="none" w:sz="0" w:space="0" w:color="auto"/>
                <w:right w:val="none" w:sz="0" w:space="0" w:color="auto"/>
              </w:divBdr>
              <w:divsChild>
                <w:div w:id="2119330488">
                  <w:marLeft w:val="0"/>
                  <w:marRight w:val="0"/>
                  <w:marTop w:val="0"/>
                  <w:marBottom w:val="0"/>
                  <w:divBdr>
                    <w:top w:val="none" w:sz="0" w:space="0" w:color="auto"/>
                    <w:left w:val="none" w:sz="0" w:space="0" w:color="auto"/>
                    <w:bottom w:val="none" w:sz="0" w:space="0" w:color="auto"/>
                    <w:right w:val="none" w:sz="0" w:space="0" w:color="auto"/>
                  </w:divBdr>
                  <w:divsChild>
                    <w:div w:id="1338996888">
                      <w:marLeft w:val="0"/>
                      <w:marRight w:val="0"/>
                      <w:marTop w:val="0"/>
                      <w:marBottom w:val="0"/>
                      <w:divBdr>
                        <w:top w:val="none" w:sz="0" w:space="0" w:color="auto"/>
                        <w:left w:val="none" w:sz="0" w:space="0" w:color="auto"/>
                        <w:bottom w:val="none" w:sz="0" w:space="0" w:color="auto"/>
                        <w:right w:val="none" w:sz="0" w:space="0" w:color="auto"/>
                      </w:divBdr>
                      <w:divsChild>
                        <w:div w:id="522090289">
                          <w:marLeft w:val="0"/>
                          <w:marRight w:val="0"/>
                          <w:marTop w:val="0"/>
                          <w:marBottom w:val="0"/>
                          <w:divBdr>
                            <w:top w:val="none" w:sz="0" w:space="0" w:color="auto"/>
                            <w:left w:val="none" w:sz="0" w:space="0" w:color="auto"/>
                            <w:bottom w:val="none" w:sz="0" w:space="0" w:color="auto"/>
                            <w:right w:val="none" w:sz="0" w:space="0" w:color="auto"/>
                          </w:divBdr>
                          <w:divsChild>
                            <w:div w:id="1434932294">
                              <w:marLeft w:val="0"/>
                              <w:marRight w:val="0"/>
                              <w:marTop w:val="0"/>
                              <w:marBottom w:val="0"/>
                              <w:divBdr>
                                <w:top w:val="none" w:sz="0" w:space="0" w:color="auto"/>
                                <w:left w:val="none" w:sz="0" w:space="0" w:color="auto"/>
                                <w:bottom w:val="none" w:sz="0" w:space="0" w:color="auto"/>
                                <w:right w:val="none" w:sz="0" w:space="0" w:color="auto"/>
                              </w:divBdr>
                              <w:divsChild>
                                <w:div w:id="1281450280">
                                  <w:marLeft w:val="0"/>
                                  <w:marRight w:val="0"/>
                                  <w:marTop w:val="0"/>
                                  <w:marBottom w:val="0"/>
                                  <w:divBdr>
                                    <w:top w:val="none" w:sz="0" w:space="0" w:color="auto"/>
                                    <w:left w:val="none" w:sz="0" w:space="0" w:color="auto"/>
                                    <w:bottom w:val="none" w:sz="0" w:space="0" w:color="auto"/>
                                    <w:right w:val="none" w:sz="0" w:space="0" w:color="auto"/>
                                  </w:divBdr>
                                  <w:divsChild>
                                    <w:div w:id="471677551">
                                      <w:marLeft w:val="0"/>
                                      <w:marRight w:val="0"/>
                                      <w:marTop w:val="0"/>
                                      <w:marBottom w:val="0"/>
                                      <w:divBdr>
                                        <w:top w:val="none" w:sz="0" w:space="0" w:color="auto"/>
                                        <w:left w:val="none" w:sz="0" w:space="0" w:color="auto"/>
                                        <w:bottom w:val="none" w:sz="0" w:space="0" w:color="auto"/>
                                        <w:right w:val="none" w:sz="0" w:space="0" w:color="auto"/>
                                      </w:divBdr>
                                      <w:divsChild>
                                        <w:div w:id="1630208888">
                                          <w:marLeft w:val="0"/>
                                          <w:marRight w:val="0"/>
                                          <w:marTop w:val="0"/>
                                          <w:marBottom w:val="0"/>
                                          <w:divBdr>
                                            <w:top w:val="none" w:sz="0" w:space="0" w:color="auto"/>
                                            <w:left w:val="none" w:sz="0" w:space="0" w:color="auto"/>
                                            <w:bottom w:val="none" w:sz="0" w:space="0" w:color="auto"/>
                                            <w:right w:val="none" w:sz="0" w:space="0" w:color="auto"/>
                                          </w:divBdr>
                                          <w:divsChild>
                                            <w:div w:id="1933319483">
                                              <w:marLeft w:val="0"/>
                                              <w:marRight w:val="0"/>
                                              <w:marTop w:val="0"/>
                                              <w:marBottom w:val="0"/>
                                              <w:divBdr>
                                                <w:top w:val="none" w:sz="0" w:space="0" w:color="auto"/>
                                                <w:left w:val="none" w:sz="0" w:space="0" w:color="auto"/>
                                                <w:bottom w:val="none" w:sz="0" w:space="0" w:color="auto"/>
                                                <w:right w:val="none" w:sz="0" w:space="0" w:color="auto"/>
                                              </w:divBdr>
                                              <w:divsChild>
                                                <w:div w:id="1580821081">
                                                  <w:marLeft w:val="0"/>
                                                  <w:marRight w:val="0"/>
                                                  <w:marTop w:val="0"/>
                                                  <w:marBottom w:val="0"/>
                                                  <w:divBdr>
                                                    <w:top w:val="none" w:sz="0" w:space="0" w:color="auto"/>
                                                    <w:left w:val="none" w:sz="0" w:space="0" w:color="auto"/>
                                                    <w:bottom w:val="none" w:sz="0" w:space="0" w:color="auto"/>
                                                    <w:right w:val="none" w:sz="0" w:space="0" w:color="auto"/>
                                                  </w:divBdr>
                                                  <w:divsChild>
                                                    <w:div w:id="1256747699">
                                                      <w:marLeft w:val="0"/>
                                                      <w:marRight w:val="0"/>
                                                      <w:marTop w:val="0"/>
                                                      <w:marBottom w:val="0"/>
                                                      <w:divBdr>
                                                        <w:top w:val="none" w:sz="0" w:space="0" w:color="auto"/>
                                                        <w:left w:val="none" w:sz="0" w:space="0" w:color="auto"/>
                                                        <w:bottom w:val="none" w:sz="0" w:space="0" w:color="auto"/>
                                                        <w:right w:val="none" w:sz="0" w:space="0" w:color="auto"/>
                                                      </w:divBdr>
                                                      <w:divsChild>
                                                        <w:div w:id="927924970">
                                                          <w:marLeft w:val="0"/>
                                                          <w:marRight w:val="0"/>
                                                          <w:marTop w:val="0"/>
                                                          <w:marBottom w:val="0"/>
                                                          <w:divBdr>
                                                            <w:top w:val="none" w:sz="0" w:space="0" w:color="auto"/>
                                                            <w:left w:val="none" w:sz="0" w:space="0" w:color="auto"/>
                                                            <w:bottom w:val="none" w:sz="0" w:space="0" w:color="auto"/>
                                                            <w:right w:val="none" w:sz="0" w:space="0" w:color="auto"/>
                                                          </w:divBdr>
                                                          <w:divsChild>
                                                            <w:div w:id="1509372416">
                                                              <w:marLeft w:val="0"/>
                                                              <w:marRight w:val="0"/>
                                                              <w:marTop w:val="0"/>
                                                              <w:marBottom w:val="0"/>
                                                              <w:divBdr>
                                                                <w:top w:val="none" w:sz="0" w:space="0" w:color="auto"/>
                                                                <w:left w:val="none" w:sz="0" w:space="0" w:color="auto"/>
                                                                <w:bottom w:val="none" w:sz="0" w:space="0" w:color="auto"/>
                                                                <w:right w:val="none" w:sz="0" w:space="0" w:color="auto"/>
                                                              </w:divBdr>
                                                              <w:divsChild>
                                                                <w:div w:id="747576408">
                                                                  <w:marLeft w:val="0"/>
                                                                  <w:marRight w:val="0"/>
                                                                  <w:marTop w:val="0"/>
                                                                  <w:marBottom w:val="0"/>
                                                                  <w:divBdr>
                                                                    <w:top w:val="none" w:sz="0" w:space="0" w:color="auto"/>
                                                                    <w:left w:val="none" w:sz="0" w:space="0" w:color="auto"/>
                                                                    <w:bottom w:val="none" w:sz="0" w:space="0" w:color="auto"/>
                                                                    <w:right w:val="none" w:sz="0" w:space="0" w:color="auto"/>
                                                                  </w:divBdr>
                                                                  <w:divsChild>
                                                                    <w:div w:id="69432619">
                                                                      <w:marLeft w:val="0"/>
                                                                      <w:marRight w:val="0"/>
                                                                      <w:marTop w:val="0"/>
                                                                      <w:marBottom w:val="0"/>
                                                                      <w:divBdr>
                                                                        <w:top w:val="none" w:sz="0" w:space="0" w:color="auto"/>
                                                                        <w:left w:val="none" w:sz="0" w:space="0" w:color="auto"/>
                                                                        <w:bottom w:val="none" w:sz="0" w:space="0" w:color="auto"/>
                                                                        <w:right w:val="none" w:sz="0" w:space="0" w:color="auto"/>
                                                                      </w:divBdr>
                                                                      <w:divsChild>
                                                                        <w:div w:id="349795526">
                                                                          <w:marLeft w:val="0"/>
                                                                          <w:marRight w:val="0"/>
                                                                          <w:marTop w:val="0"/>
                                                                          <w:marBottom w:val="0"/>
                                                                          <w:divBdr>
                                                                            <w:top w:val="none" w:sz="0" w:space="0" w:color="auto"/>
                                                                            <w:left w:val="none" w:sz="0" w:space="0" w:color="auto"/>
                                                                            <w:bottom w:val="none" w:sz="0" w:space="0" w:color="auto"/>
                                                                            <w:right w:val="none" w:sz="0" w:space="0" w:color="auto"/>
                                                                          </w:divBdr>
                                                                          <w:divsChild>
                                                                            <w:div w:id="504982800">
                                                                              <w:marLeft w:val="0"/>
                                                                              <w:marRight w:val="0"/>
                                                                              <w:marTop w:val="0"/>
                                                                              <w:marBottom w:val="0"/>
                                                                              <w:divBdr>
                                                                                <w:top w:val="none" w:sz="0" w:space="0" w:color="auto"/>
                                                                                <w:left w:val="none" w:sz="0" w:space="0" w:color="auto"/>
                                                                                <w:bottom w:val="none" w:sz="0" w:space="0" w:color="auto"/>
                                                                                <w:right w:val="none" w:sz="0" w:space="0" w:color="auto"/>
                                                                              </w:divBdr>
                                                                              <w:divsChild>
                                                                                <w:div w:id="1037582938">
                                                                                  <w:marLeft w:val="0"/>
                                                                                  <w:marRight w:val="0"/>
                                                                                  <w:marTop w:val="0"/>
                                                                                  <w:marBottom w:val="0"/>
                                                                                  <w:divBdr>
                                                                                    <w:top w:val="none" w:sz="0" w:space="0" w:color="auto"/>
                                                                                    <w:left w:val="none" w:sz="0" w:space="0" w:color="auto"/>
                                                                                    <w:bottom w:val="none" w:sz="0" w:space="0" w:color="auto"/>
                                                                                    <w:right w:val="none" w:sz="0" w:space="0" w:color="auto"/>
                                                                                  </w:divBdr>
                                                                                  <w:divsChild>
                                                                                    <w:div w:id="814881552">
                                                                                      <w:marLeft w:val="0"/>
                                                                                      <w:marRight w:val="0"/>
                                                                                      <w:marTop w:val="0"/>
                                                                                      <w:marBottom w:val="0"/>
                                                                                      <w:divBdr>
                                                                                        <w:top w:val="single" w:sz="6" w:space="0" w:color="A7B3BD"/>
                                                                                        <w:left w:val="none" w:sz="0" w:space="0" w:color="auto"/>
                                                                                        <w:bottom w:val="none" w:sz="0" w:space="0" w:color="auto"/>
                                                                                        <w:right w:val="none" w:sz="0" w:space="0" w:color="auto"/>
                                                                                      </w:divBdr>
                                                                                      <w:divsChild>
                                                                                        <w:div w:id="10827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963253">
      <w:bodyDiv w:val="1"/>
      <w:marLeft w:val="0"/>
      <w:marRight w:val="0"/>
      <w:marTop w:val="0"/>
      <w:marBottom w:val="0"/>
      <w:divBdr>
        <w:top w:val="none" w:sz="0" w:space="0" w:color="auto"/>
        <w:left w:val="none" w:sz="0" w:space="0" w:color="auto"/>
        <w:bottom w:val="none" w:sz="0" w:space="0" w:color="auto"/>
        <w:right w:val="none" w:sz="0" w:space="0" w:color="auto"/>
      </w:divBdr>
      <w:divsChild>
        <w:div w:id="2090812129">
          <w:marLeft w:val="0"/>
          <w:marRight w:val="0"/>
          <w:marTop w:val="0"/>
          <w:marBottom w:val="0"/>
          <w:divBdr>
            <w:top w:val="none" w:sz="0" w:space="0" w:color="auto"/>
            <w:left w:val="none" w:sz="0" w:space="0" w:color="auto"/>
            <w:bottom w:val="none" w:sz="0" w:space="0" w:color="auto"/>
            <w:right w:val="none" w:sz="0" w:space="0" w:color="auto"/>
          </w:divBdr>
        </w:div>
      </w:divsChild>
    </w:div>
    <w:div w:id="1355691945">
      <w:bodyDiv w:val="1"/>
      <w:marLeft w:val="0"/>
      <w:marRight w:val="0"/>
      <w:marTop w:val="0"/>
      <w:marBottom w:val="0"/>
      <w:divBdr>
        <w:top w:val="none" w:sz="0" w:space="0" w:color="auto"/>
        <w:left w:val="none" w:sz="0" w:space="0" w:color="auto"/>
        <w:bottom w:val="none" w:sz="0" w:space="0" w:color="auto"/>
        <w:right w:val="none" w:sz="0" w:space="0" w:color="auto"/>
      </w:divBdr>
    </w:div>
    <w:div w:id="1442844620">
      <w:bodyDiv w:val="1"/>
      <w:marLeft w:val="0"/>
      <w:marRight w:val="0"/>
      <w:marTop w:val="0"/>
      <w:marBottom w:val="0"/>
      <w:divBdr>
        <w:top w:val="none" w:sz="0" w:space="0" w:color="auto"/>
        <w:left w:val="none" w:sz="0" w:space="0" w:color="auto"/>
        <w:bottom w:val="none" w:sz="0" w:space="0" w:color="auto"/>
        <w:right w:val="none" w:sz="0" w:space="0" w:color="auto"/>
      </w:divBdr>
    </w:div>
    <w:div w:id="1527133805">
      <w:bodyDiv w:val="1"/>
      <w:marLeft w:val="0"/>
      <w:marRight w:val="0"/>
      <w:marTop w:val="0"/>
      <w:marBottom w:val="0"/>
      <w:divBdr>
        <w:top w:val="none" w:sz="0" w:space="0" w:color="auto"/>
        <w:left w:val="none" w:sz="0" w:space="0" w:color="auto"/>
        <w:bottom w:val="none" w:sz="0" w:space="0" w:color="auto"/>
        <w:right w:val="none" w:sz="0" w:space="0" w:color="auto"/>
      </w:divBdr>
    </w:div>
    <w:div w:id="1547184935">
      <w:bodyDiv w:val="1"/>
      <w:marLeft w:val="0"/>
      <w:marRight w:val="0"/>
      <w:marTop w:val="0"/>
      <w:marBottom w:val="0"/>
      <w:divBdr>
        <w:top w:val="none" w:sz="0" w:space="0" w:color="auto"/>
        <w:left w:val="none" w:sz="0" w:space="0" w:color="auto"/>
        <w:bottom w:val="none" w:sz="0" w:space="0" w:color="auto"/>
        <w:right w:val="none" w:sz="0" w:space="0" w:color="auto"/>
      </w:divBdr>
      <w:divsChild>
        <w:div w:id="1008413218">
          <w:marLeft w:val="0"/>
          <w:marRight w:val="0"/>
          <w:marTop w:val="0"/>
          <w:marBottom w:val="0"/>
          <w:divBdr>
            <w:top w:val="none" w:sz="0" w:space="0" w:color="auto"/>
            <w:left w:val="none" w:sz="0" w:space="0" w:color="auto"/>
            <w:bottom w:val="none" w:sz="0" w:space="0" w:color="auto"/>
            <w:right w:val="none" w:sz="0" w:space="0" w:color="auto"/>
          </w:divBdr>
        </w:div>
      </w:divsChild>
    </w:div>
    <w:div w:id="1727533262">
      <w:bodyDiv w:val="1"/>
      <w:marLeft w:val="0"/>
      <w:marRight w:val="0"/>
      <w:marTop w:val="0"/>
      <w:marBottom w:val="0"/>
      <w:divBdr>
        <w:top w:val="none" w:sz="0" w:space="0" w:color="auto"/>
        <w:left w:val="none" w:sz="0" w:space="0" w:color="auto"/>
        <w:bottom w:val="none" w:sz="0" w:space="0" w:color="auto"/>
        <w:right w:val="none" w:sz="0" w:space="0" w:color="auto"/>
      </w:divBdr>
    </w:div>
    <w:div w:id="1928924000">
      <w:bodyDiv w:val="1"/>
      <w:marLeft w:val="0"/>
      <w:marRight w:val="0"/>
      <w:marTop w:val="0"/>
      <w:marBottom w:val="0"/>
      <w:divBdr>
        <w:top w:val="none" w:sz="0" w:space="0" w:color="auto"/>
        <w:left w:val="none" w:sz="0" w:space="0" w:color="auto"/>
        <w:bottom w:val="none" w:sz="0" w:space="0" w:color="auto"/>
        <w:right w:val="none" w:sz="0" w:space="0" w:color="auto"/>
      </w:divBdr>
      <w:divsChild>
        <w:div w:id="2070689502">
          <w:marLeft w:val="0"/>
          <w:marRight w:val="0"/>
          <w:marTop w:val="0"/>
          <w:marBottom w:val="0"/>
          <w:divBdr>
            <w:top w:val="none" w:sz="0" w:space="0" w:color="auto"/>
            <w:left w:val="none" w:sz="0" w:space="0" w:color="auto"/>
            <w:bottom w:val="none" w:sz="0" w:space="0" w:color="auto"/>
            <w:right w:val="none" w:sz="0" w:space="0" w:color="auto"/>
          </w:divBdr>
        </w:div>
      </w:divsChild>
    </w:div>
    <w:div w:id="2063822462">
      <w:bodyDiv w:val="1"/>
      <w:marLeft w:val="0"/>
      <w:marRight w:val="0"/>
      <w:marTop w:val="0"/>
      <w:marBottom w:val="0"/>
      <w:divBdr>
        <w:top w:val="none" w:sz="0" w:space="0" w:color="auto"/>
        <w:left w:val="none" w:sz="0" w:space="0" w:color="auto"/>
        <w:bottom w:val="none" w:sz="0" w:space="0" w:color="auto"/>
        <w:right w:val="none" w:sz="0" w:space="0" w:color="auto"/>
      </w:divBdr>
    </w:div>
    <w:div w:id="21112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opcov.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nalytics.nbg.gov.ge/views/MoneyTransfers/MonayTransfersYoYGrowthRate?iframeSizedToWindow=true&amp;%3Aembed=y&amp;%3AshowAppBanner=false&amp;%3Adisplay_count=no&amp;%3AshowVizHome=no" TargetMode="External"/><Relationship Id="rId13" Type="http://schemas.openxmlformats.org/officeDocument/2006/relationships/hyperlink" Target="https://civil.ge/archives/342281" TargetMode="External"/><Relationship Id="rId18" Type="http://schemas.openxmlformats.org/officeDocument/2006/relationships/hyperlink" Target="https://www.geostat.ge/en/modules/categories/297/food-security" TargetMode="External"/><Relationship Id="rId3" Type="http://schemas.openxmlformats.org/officeDocument/2006/relationships/hyperlink" Target="https://www.who.int/emergencies/diseases/novel-coronavirus-2019/situation-reports" TargetMode="External"/><Relationship Id="rId7" Type="http://schemas.openxmlformats.org/officeDocument/2006/relationships/hyperlink" Target="https://www.e-nwto.org/doi/pdf/10.5555/unwtotfb0268010020142018201911" TargetMode="External"/><Relationship Id="rId12" Type="http://schemas.openxmlformats.org/officeDocument/2006/relationships/hyperlink" Target="https://www.geostat.ge/en/modules/categories/38/employment-and-unemployment" TargetMode="External"/><Relationship Id="rId17" Type="http://schemas.openxmlformats.org/officeDocument/2006/relationships/hyperlink" Target="https://oec.world/en/" TargetMode="External"/><Relationship Id="rId2" Type="http://schemas.openxmlformats.org/officeDocument/2006/relationships/hyperlink" Target="https://www.geostat.ge/en/modules/categories/316/population-and-demography" TargetMode="External"/><Relationship Id="rId16" Type="http://schemas.openxmlformats.org/officeDocument/2006/relationships/hyperlink" Target="https://apps.who.int/gho/data/node.main.GHEDOOPSCHESHA2011?lang=en" TargetMode="External"/><Relationship Id="rId1" Type="http://schemas.openxmlformats.org/officeDocument/2006/relationships/hyperlink" Target="https://coronavirus.jhu.edu/map.html" TargetMode="External"/><Relationship Id="rId6" Type="http://schemas.openxmlformats.org/officeDocument/2006/relationships/hyperlink" Target="https://gnta.ge/statistics/" TargetMode="External"/><Relationship Id="rId11" Type="http://schemas.openxmlformats.org/officeDocument/2006/relationships/hyperlink" Target="https://www.geostat.ge/en/modules/categories/39/wages" TargetMode="External"/><Relationship Id="rId5" Type="http://schemas.openxmlformats.org/officeDocument/2006/relationships/hyperlink" Target="https://www.imperial.ac.uk/media/imperial-college/medicine/sph/ide/gida-fellowships/Imperial-College-COVID19-Global-Impact-26-03-2020.pdf" TargetMode="External"/><Relationship Id="rId15" Type="http://schemas.openxmlformats.org/officeDocument/2006/relationships/hyperlink" Target="https://apps.who.int/gho/data/view.main.GHEDGGHEDGDPSHA2011WBv?lang=en" TargetMode="External"/><Relationship Id="rId10" Type="http://schemas.openxmlformats.org/officeDocument/2006/relationships/hyperlink" Target="https://www.geostat.ge/en/modules/categories/38/employment-and-unemployment" TargetMode="External"/><Relationship Id="rId4" Type="http://schemas.openxmlformats.org/officeDocument/2006/relationships/hyperlink" Target="https://stopcov.ge" TargetMode="External"/><Relationship Id="rId9" Type="http://schemas.openxmlformats.org/officeDocument/2006/relationships/hyperlink" Target="https://www.geostat.ge/en/modules/categories/192/living-conditions" TargetMode="External"/><Relationship Id="rId14" Type="http://schemas.openxmlformats.org/officeDocument/2006/relationships/hyperlink" Target="https://www.moh.gov.ge/en/news/50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E\Documents\Memorandum%20of%20Underst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BDocumentDate xmlns="c1fdd505-2570-46c2-bd04-3e0f2d874cf5" xsi:nil="true"/>
    <ADBMonth xmlns="c1fdd505-2570-46c2-bd04-3e0f2d874cf5" xsi:nil="tru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CWPF</TermName>
          <TermId xmlns="http://schemas.microsoft.com/office/infopath/2007/PartnerControls">14fb442e-d1a4-4c70-b930-46052dddc16a</TermId>
        </TermInfo>
      </Terms>
    </ia017ac09b1942648b563fe0b2b14d52>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_Flow_SignoffStatus xmlns="290cdaa3-c638-499a-8e5b-01a05382d52d" xsi:nil="true"/>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d01a0ce1b141461dbfb235a3ab729a2c xmlns="c1fdd505-2570-46c2-bd04-3e0f2d874cf5">
      <Terms xmlns="http://schemas.microsoft.com/office/infopath/2007/PartnerControl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4</Value>
      <Value>3</Value>
      <Value>2</Value>
      <Value>1</Value>
    </TaxCatchAll>
    <SharedWithUsers xmlns="de7c83af-6e2a-468d-b74a-8ed3e8c19c66">
      <UserInfo>
        <DisplayName>Anna Liza Silverio</DisplayName>
        <AccountId>529</AccountId>
        <AccountType/>
      </UserInfo>
      <UserInfo>
        <DisplayName>Mariane N. Sual</DisplayName>
        <AccountId>104</AccountId>
        <AccountType/>
      </UserInfo>
      <UserInfo>
        <DisplayName>Maria Celeste Yabut</DisplayName>
        <AccountId>100</AccountId>
        <AccountType/>
      </UserInfo>
      <UserInfo>
        <DisplayName>Elinor B. Piano</DisplayName>
        <AccountId>108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3baf70b-9d20-46e6-a2d2-5b92398ba0bc" ContentTypeId="0x010100A3BFD338C4D69F46BE33AA49AB508701" PreviousValue="tru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19" ma:contentTypeDescription="" ma:contentTypeScope="" ma:versionID="948a853696a2ba44556c54b5ab12ce0d">
  <xsd:schema xmlns:xsd="http://www.w3.org/2001/XMLSchema" xmlns:xs="http://www.w3.org/2001/XMLSchema" xmlns:p="http://schemas.microsoft.com/office/2006/metadata/properties" xmlns:ns2="c1fdd505-2570-46c2-bd04-3e0f2d874cf5" xmlns:ns3="290cdaa3-c638-499a-8e5b-01a05382d52d" xmlns:ns4="de7c83af-6e2a-468d-b74a-8ed3e8c19c66" targetNamespace="http://schemas.microsoft.com/office/2006/metadata/properties" ma:root="true" ma:fieldsID="f0f8326df0b7e48395de7b6324cfa0bd" ns2:_="" ns3:_="" ns4:_="">
    <xsd:import namespace="c1fdd505-2570-46c2-bd04-3e0f2d874cf5"/>
    <xsd:import namespace="290cdaa3-c638-499a-8e5b-01a05382d52d"/>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3:MediaServiceLocation"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25dc3d4-8c42-4adf-ba18-092ba62dec38}"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0cdaa3-c638-499a-8e5b-01a05382d52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Location" ma:internalName="MediaServiceLocation" ma:readOnly="true">
      <xsd:simpleType>
        <xsd:restriction base="dms:Text"/>
      </xsd:simpleType>
    </xsd:element>
    <xsd:element name="_Flow_SignoffStatus" ma:index="46" nillable="true" ma:displayName="Sign-off status" ma:internalName="Sign_x002d_off_x0020_status">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AutoKeyPoints" ma:index="49" nillable="true" ma:displayName="MediaServiceAutoKeyPoints" ma:hidden="true" ma:internalName="MediaServiceAutoKeyPoints" ma:readOnly="true">
      <xsd:simpleType>
        <xsd:restriction base="dms:Note"/>
      </xsd:simpleType>
    </xsd:element>
    <xsd:element name="MediaServiceKeyPoints" ma:index="5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A4808-BEE5-4B5F-9C66-29A17F803CEA}">
  <ds:schemaRefs>
    <ds:schemaRef ds:uri="http://schemas.microsoft.com/office/2006/metadata/properties"/>
    <ds:schemaRef ds:uri="http://schemas.microsoft.com/office/infopath/2007/PartnerControls"/>
    <ds:schemaRef ds:uri="c1fdd505-2570-46c2-bd04-3e0f2d874cf5"/>
    <ds:schemaRef ds:uri="290cdaa3-c638-499a-8e5b-01a05382d52d"/>
    <ds:schemaRef ds:uri="de7c83af-6e2a-468d-b74a-8ed3e8c19c66"/>
  </ds:schemaRefs>
</ds:datastoreItem>
</file>

<file path=customXml/itemProps2.xml><?xml version="1.0" encoding="utf-8"?>
<ds:datastoreItem xmlns:ds="http://schemas.openxmlformats.org/officeDocument/2006/customXml" ds:itemID="{97228214-7770-4B4C-B1CD-D989C2B71C93}">
  <ds:schemaRefs>
    <ds:schemaRef ds:uri="http://schemas.microsoft.com/sharepoint/v3/contenttype/forms"/>
  </ds:schemaRefs>
</ds:datastoreItem>
</file>

<file path=customXml/itemProps3.xml><?xml version="1.0" encoding="utf-8"?>
<ds:datastoreItem xmlns:ds="http://schemas.openxmlformats.org/officeDocument/2006/customXml" ds:itemID="{2490CA50-499E-4C9D-BE7A-14EDBE68FDB7}">
  <ds:schemaRefs>
    <ds:schemaRef ds:uri="Microsoft.SharePoint.Taxonomy.ContentTypeSync"/>
  </ds:schemaRefs>
</ds:datastoreItem>
</file>

<file path=customXml/itemProps4.xml><?xml version="1.0" encoding="utf-8"?>
<ds:datastoreItem xmlns:ds="http://schemas.openxmlformats.org/officeDocument/2006/customXml" ds:itemID="{93D32DE8-FE92-4C23-AADF-00C6877ED318}">
  <ds:schemaRefs>
    <ds:schemaRef ds:uri="http://schemas.openxmlformats.org/officeDocument/2006/bibliography"/>
  </ds:schemaRefs>
</ds:datastoreItem>
</file>

<file path=customXml/itemProps5.xml><?xml version="1.0" encoding="utf-8"?>
<ds:datastoreItem xmlns:ds="http://schemas.openxmlformats.org/officeDocument/2006/customXml" ds:itemID="{2B1F4FEE-BE1D-4D49-AA5A-8DBEE213A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dd505-2570-46c2-bd04-3e0f2d874cf5"/>
    <ds:schemaRef ds:uri="290cdaa3-c638-499a-8e5b-01a05382d52d"/>
    <ds:schemaRef ds:uri="de7c83af-6e2a-468d-b74a-8ed3e8c19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Memorandum of Understanding.dotx</Template>
  <TotalTime>3</TotalTime>
  <Pages>1</Pages>
  <Words>5117</Words>
  <Characters>29167</Characters>
  <Application>Microsoft Office Word</Application>
  <DocSecurity>4</DocSecurity>
  <Lines>243</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Asian Development Bank</Company>
  <LinksUpToDate>false</LinksUpToDate>
  <CharactersWithSpaces>34216</CharactersWithSpaces>
  <SharedDoc>false</SharedDoc>
  <HLinks>
    <vt:vector size="114" baseType="variant">
      <vt:variant>
        <vt:i4>6946928</vt:i4>
      </vt:variant>
      <vt:variant>
        <vt:i4>0</vt:i4>
      </vt:variant>
      <vt:variant>
        <vt:i4>0</vt:i4>
      </vt:variant>
      <vt:variant>
        <vt:i4>5</vt:i4>
      </vt:variant>
      <vt:variant>
        <vt:lpwstr>http://www.stopcov.ge/</vt:lpwstr>
      </vt:variant>
      <vt:variant>
        <vt:lpwstr/>
      </vt:variant>
      <vt:variant>
        <vt:i4>4063291</vt:i4>
      </vt:variant>
      <vt:variant>
        <vt:i4>50</vt:i4>
      </vt:variant>
      <vt:variant>
        <vt:i4>0</vt:i4>
      </vt:variant>
      <vt:variant>
        <vt:i4>5</vt:i4>
      </vt:variant>
      <vt:variant>
        <vt:lpwstr>https://www.geostat.ge/en/modules/categories/297/food-security</vt:lpwstr>
      </vt:variant>
      <vt:variant>
        <vt:lpwstr/>
      </vt:variant>
      <vt:variant>
        <vt:i4>1572936</vt:i4>
      </vt:variant>
      <vt:variant>
        <vt:i4>48</vt:i4>
      </vt:variant>
      <vt:variant>
        <vt:i4>0</vt:i4>
      </vt:variant>
      <vt:variant>
        <vt:i4>5</vt:i4>
      </vt:variant>
      <vt:variant>
        <vt:lpwstr>https://oec.world/en/</vt:lpwstr>
      </vt:variant>
      <vt:variant>
        <vt:lpwstr/>
      </vt:variant>
      <vt:variant>
        <vt:i4>3801144</vt:i4>
      </vt:variant>
      <vt:variant>
        <vt:i4>45</vt:i4>
      </vt:variant>
      <vt:variant>
        <vt:i4>0</vt:i4>
      </vt:variant>
      <vt:variant>
        <vt:i4>5</vt:i4>
      </vt:variant>
      <vt:variant>
        <vt:lpwstr>https://apps.who.int/gho/data/node.main.GHEDOOPSCHESHA2011?lang=en</vt:lpwstr>
      </vt:variant>
      <vt:variant>
        <vt:lpwstr/>
      </vt:variant>
      <vt:variant>
        <vt:i4>3538989</vt:i4>
      </vt:variant>
      <vt:variant>
        <vt:i4>42</vt:i4>
      </vt:variant>
      <vt:variant>
        <vt:i4>0</vt:i4>
      </vt:variant>
      <vt:variant>
        <vt:i4>5</vt:i4>
      </vt:variant>
      <vt:variant>
        <vt:lpwstr>https://apps.who.int/gho/data/view.main.GHEDGGHEDGDPSHA2011WBv?lang=en</vt:lpwstr>
      </vt:variant>
      <vt:variant>
        <vt:lpwstr/>
      </vt:variant>
      <vt:variant>
        <vt:i4>6094914</vt:i4>
      </vt:variant>
      <vt:variant>
        <vt:i4>39</vt:i4>
      </vt:variant>
      <vt:variant>
        <vt:i4>0</vt:i4>
      </vt:variant>
      <vt:variant>
        <vt:i4>5</vt:i4>
      </vt:variant>
      <vt:variant>
        <vt:lpwstr>https://www.moh.gov.ge/en/news/5066/</vt:lpwstr>
      </vt:variant>
      <vt:variant>
        <vt:lpwstr/>
      </vt:variant>
      <vt:variant>
        <vt:i4>4980823</vt:i4>
      </vt:variant>
      <vt:variant>
        <vt:i4>36</vt:i4>
      </vt:variant>
      <vt:variant>
        <vt:i4>0</vt:i4>
      </vt:variant>
      <vt:variant>
        <vt:i4>5</vt:i4>
      </vt:variant>
      <vt:variant>
        <vt:lpwstr>https://civil.ge/archives/342281</vt:lpwstr>
      </vt:variant>
      <vt:variant>
        <vt:lpwstr/>
      </vt:variant>
      <vt:variant>
        <vt:i4>6488172</vt:i4>
      </vt:variant>
      <vt:variant>
        <vt:i4>33</vt:i4>
      </vt:variant>
      <vt:variant>
        <vt:i4>0</vt:i4>
      </vt:variant>
      <vt:variant>
        <vt:i4>5</vt:i4>
      </vt:variant>
      <vt:variant>
        <vt:lpwstr>https://www.geostat.ge/en/modules/categories/38/employment-and-unemployment</vt:lpwstr>
      </vt:variant>
      <vt:variant>
        <vt:lpwstr/>
      </vt:variant>
      <vt:variant>
        <vt:i4>458777</vt:i4>
      </vt:variant>
      <vt:variant>
        <vt:i4>30</vt:i4>
      </vt:variant>
      <vt:variant>
        <vt:i4>0</vt:i4>
      </vt:variant>
      <vt:variant>
        <vt:i4>5</vt:i4>
      </vt:variant>
      <vt:variant>
        <vt:lpwstr>https://www.geostat.ge/en/modules/categories/39/wages</vt:lpwstr>
      </vt:variant>
      <vt:variant>
        <vt:lpwstr/>
      </vt:variant>
      <vt:variant>
        <vt:i4>6488172</vt:i4>
      </vt:variant>
      <vt:variant>
        <vt:i4>27</vt:i4>
      </vt:variant>
      <vt:variant>
        <vt:i4>0</vt:i4>
      </vt:variant>
      <vt:variant>
        <vt:i4>5</vt:i4>
      </vt:variant>
      <vt:variant>
        <vt:lpwstr>https://www.geostat.ge/en/modules/categories/38/employment-and-unemployment</vt:lpwstr>
      </vt:variant>
      <vt:variant>
        <vt:lpwstr/>
      </vt:variant>
      <vt:variant>
        <vt:i4>2490402</vt:i4>
      </vt:variant>
      <vt:variant>
        <vt:i4>24</vt:i4>
      </vt:variant>
      <vt:variant>
        <vt:i4>0</vt:i4>
      </vt:variant>
      <vt:variant>
        <vt:i4>5</vt:i4>
      </vt:variant>
      <vt:variant>
        <vt:lpwstr>https://www.geostat.ge/en/modules/categories/192/living-conditions</vt:lpwstr>
      </vt:variant>
      <vt:variant>
        <vt:lpwstr/>
      </vt:variant>
      <vt:variant>
        <vt:i4>4390964</vt:i4>
      </vt:variant>
      <vt:variant>
        <vt:i4>21</vt:i4>
      </vt:variant>
      <vt:variant>
        <vt:i4>0</vt:i4>
      </vt:variant>
      <vt:variant>
        <vt:i4>5</vt:i4>
      </vt:variant>
      <vt:variant>
        <vt:lpwstr>https://analytics.nbg.gov.ge/views/MoneyTransfers/MonayTransfersYoYGrowthRate?iframeSizedToWindow=true&amp;%3Aembed=y&amp;%3AshowAppBanner=false&amp;%3Adisplay_count=no&amp;%3AshowVizHome=no</vt:lpwstr>
      </vt:variant>
      <vt:variant>
        <vt:lpwstr/>
      </vt:variant>
      <vt:variant>
        <vt:i4>5111898</vt:i4>
      </vt:variant>
      <vt:variant>
        <vt:i4>18</vt:i4>
      </vt:variant>
      <vt:variant>
        <vt:i4>0</vt:i4>
      </vt:variant>
      <vt:variant>
        <vt:i4>5</vt:i4>
      </vt:variant>
      <vt:variant>
        <vt:lpwstr>https://www.e-nwto.org/doi/pdf/10.5555/unwtotfb0268010020142018201911</vt:lpwstr>
      </vt:variant>
      <vt:variant>
        <vt:lpwstr/>
      </vt:variant>
      <vt:variant>
        <vt:i4>4128884</vt:i4>
      </vt:variant>
      <vt:variant>
        <vt:i4>15</vt:i4>
      </vt:variant>
      <vt:variant>
        <vt:i4>0</vt:i4>
      </vt:variant>
      <vt:variant>
        <vt:i4>5</vt:i4>
      </vt:variant>
      <vt:variant>
        <vt:lpwstr>https://gnta.ge/statistics/</vt:lpwstr>
      </vt:variant>
      <vt:variant>
        <vt:lpwstr/>
      </vt:variant>
      <vt:variant>
        <vt:i4>327773</vt:i4>
      </vt:variant>
      <vt:variant>
        <vt:i4>12</vt:i4>
      </vt:variant>
      <vt:variant>
        <vt:i4>0</vt:i4>
      </vt:variant>
      <vt:variant>
        <vt:i4>5</vt:i4>
      </vt:variant>
      <vt:variant>
        <vt:lpwstr>https://www.imperial.ac.uk/media/imperial-college/medicine/sph/ide/gida-fellowships/Imperial-College-COVID19-Global-Impact-26-03-2020.pdf</vt:lpwstr>
      </vt:variant>
      <vt:variant>
        <vt:lpwstr/>
      </vt:variant>
      <vt:variant>
        <vt:i4>3211310</vt:i4>
      </vt:variant>
      <vt:variant>
        <vt:i4>9</vt:i4>
      </vt:variant>
      <vt:variant>
        <vt:i4>0</vt:i4>
      </vt:variant>
      <vt:variant>
        <vt:i4>5</vt:i4>
      </vt:variant>
      <vt:variant>
        <vt:lpwstr>https://stopcov.ge/</vt:lpwstr>
      </vt:variant>
      <vt:variant>
        <vt:lpwstr/>
      </vt:variant>
      <vt:variant>
        <vt:i4>1310725</vt:i4>
      </vt:variant>
      <vt:variant>
        <vt:i4>6</vt:i4>
      </vt:variant>
      <vt:variant>
        <vt:i4>0</vt:i4>
      </vt:variant>
      <vt:variant>
        <vt:i4>5</vt:i4>
      </vt:variant>
      <vt:variant>
        <vt:lpwstr>https://www.who.int/emergencies/diseases/novel-coronavirus-2019/situation-reports</vt:lpwstr>
      </vt:variant>
      <vt:variant>
        <vt:lpwstr/>
      </vt:variant>
      <vt:variant>
        <vt:i4>7471152</vt:i4>
      </vt:variant>
      <vt:variant>
        <vt:i4>3</vt:i4>
      </vt:variant>
      <vt:variant>
        <vt:i4>0</vt:i4>
      </vt:variant>
      <vt:variant>
        <vt:i4>5</vt:i4>
      </vt:variant>
      <vt:variant>
        <vt:lpwstr>https://www.geostat.ge/en/modules/categories/316/population-and-demography</vt:lpwstr>
      </vt:variant>
      <vt:variant>
        <vt:lpwstr/>
      </vt:variant>
      <vt:variant>
        <vt:i4>1572959</vt:i4>
      </vt:variant>
      <vt:variant>
        <vt:i4>0</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Marishka Etrata</dc:creator>
  <cp:keywords/>
  <cp:lastModifiedBy>Rogerio De Almeida Vieira De Sa</cp:lastModifiedBy>
  <cp:revision>7</cp:revision>
  <cp:lastPrinted>2018-08-13T22:17:00Z</cp:lastPrinted>
  <dcterms:created xsi:type="dcterms:W3CDTF">2020-05-08T17:57:00Z</dcterms:created>
  <dcterms:modified xsi:type="dcterms:W3CDTF">2020-05-08T18:06:00Z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0x010100A3BFD338C4D69F46BE33AA49AB50870100C520B00D8BB20C45814389052060F14C</vt:lpwstr>
  </property>
  <property fmtid="{D5CDD505-2E9C-101B-9397-08002B2CF9AE}" pid="3" name="ADBDepartmentOwner">
    <vt:lpwstr>3;#CWRD|6d71ff58-4882-4388-ab5c-218969b1e9c8</vt:lpwstr>
  </property>
  <property fmtid="{D5CDD505-2E9C-101B-9397-08002B2CF9AE}" pid="4" name="ADBDocumentSecurity">
    <vt:lpwstr/>
  </property>
  <property fmtid="{D5CDD505-2E9C-101B-9397-08002B2CF9AE}" pid="5" name="ADBCountry">
    <vt:lpwstr/>
  </property>
  <property fmtid="{D5CDD505-2E9C-101B-9397-08002B2CF9AE}" pid="6" name="ADBDocumentLanguage">
    <vt:lpwstr>1;#English|16ac8743-31bb-43f8-9a73-533a041667d6</vt:lpwstr>
  </property>
  <property fmtid="{D5CDD505-2E9C-101B-9397-08002B2CF9AE}" pid="7" name="ADBSubRegion">
    <vt:lpwstr/>
  </property>
  <property fmtid="{D5CDD505-2E9C-101B-9397-08002B2CF9AE}" pid="8" name="Segment">
    <vt:lpwstr/>
  </property>
  <property fmtid="{D5CDD505-2E9C-101B-9397-08002B2CF9AE}" pid="9" name="ADBProjectDocumentType">
    <vt:lpwstr/>
  </property>
  <property fmtid="{D5CDD505-2E9C-101B-9397-08002B2CF9AE}" pid="10" name="ADBProject">
    <vt:lpwstr/>
  </property>
  <property fmtid="{D5CDD505-2E9C-101B-9397-08002B2CF9AE}" pid="11" name="ADBSector">
    <vt:lpwstr/>
  </property>
  <property fmtid="{D5CDD505-2E9C-101B-9397-08002B2CF9AE}" pid="12" name="ADBDivision">
    <vt:lpwstr>4;#CWPF|14fb442e-d1a4-4c70-b930-46052dddc16a</vt:lpwstr>
  </property>
  <property fmtid="{D5CDD505-2E9C-101B-9397-08002B2CF9AE}" pid="13" name="ADBContentGroup">
    <vt:lpwstr>2;#CWRD|6d71ff58-4882-4388-ab5c-218969b1e9c8</vt:lpwstr>
  </property>
</Properties>
</file>